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C45" w:rsidRPr="00962C06" w:rsidRDefault="000B4A6C" w:rsidP="00627C45">
      <w:pPr>
        <w:spacing w:after="0" w:line="240" w:lineRule="auto"/>
        <w:jc w:val="center"/>
        <w:rPr>
          <w:rFonts w:ascii="Arial" w:eastAsia="Times New Roman" w:hAnsi="Arial" w:cs="Arial"/>
          <w:b/>
          <w:color w:val="000000"/>
          <w:lang w:val="en-AU" w:eastAsia="x-none"/>
        </w:rPr>
      </w:pPr>
      <w:bookmarkStart w:id="0" w:name="_GoBack"/>
      <w:bookmarkEnd w:id="0"/>
      <w:r>
        <w:rPr>
          <w:rFonts w:ascii="Arial" w:eastAsia="Times New Roman" w:hAnsi="Arial" w:cs="Arial"/>
          <w:b/>
          <w:color w:val="000000"/>
          <w:lang w:val="en-AU" w:eastAsia="x-none"/>
        </w:rPr>
        <w:t xml:space="preserve">Trust Board </w:t>
      </w:r>
    </w:p>
    <w:p w:rsidR="0077204E" w:rsidRPr="00962C06" w:rsidRDefault="00A66EAB" w:rsidP="00E84D93">
      <w:pPr>
        <w:spacing w:after="0" w:line="240" w:lineRule="auto"/>
        <w:jc w:val="center"/>
        <w:rPr>
          <w:rFonts w:ascii="Arial" w:eastAsia="Times New Roman" w:hAnsi="Arial" w:cs="Arial"/>
          <w:b/>
          <w:color w:val="000000"/>
          <w:lang w:val="en-AU" w:eastAsia="x-none"/>
        </w:rPr>
      </w:pPr>
      <w:r>
        <w:rPr>
          <w:rFonts w:ascii="Arial" w:eastAsia="Times New Roman" w:hAnsi="Arial" w:cs="Arial"/>
          <w:b/>
          <w:color w:val="000000"/>
          <w:lang w:val="en-AU" w:eastAsia="x-none"/>
        </w:rPr>
        <w:t>June</w:t>
      </w:r>
      <w:r w:rsidR="00475231">
        <w:rPr>
          <w:rFonts w:ascii="Arial" w:eastAsia="Times New Roman" w:hAnsi="Arial" w:cs="Arial"/>
          <w:b/>
          <w:color w:val="000000"/>
          <w:lang w:val="en-AU" w:eastAsia="x-none"/>
        </w:rPr>
        <w:t xml:space="preserve"> 2020</w:t>
      </w:r>
    </w:p>
    <w:p w:rsidR="0077204E" w:rsidRPr="00962C06" w:rsidRDefault="0077204E" w:rsidP="00627C45">
      <w:pPr>
        <w:spacing w:after="0" w:line="240" w:lineRule="auto"/>
        <w:jc w:val="center"/>
        <w:rPr>
          <w:rFonts w:ascii="Arial" w:eastAsia="Times New Roman" w:hAnsi="Arial" w:cs="Arial"/>
          <w:b/>
          <w:color w:val="000000"/>
          <w:lang w:val="en-AU" w:eastAsia="x-none"/>
        </w:rPr>
      </w:pPr>
    </w:p>
    <w:p w:rsidR="0077204E" w:rsidRPr="00962C06" w:rsidRDefault="00962C06" w:rsidP="00627C45">
      <w:pPr>
        <w:spacing w:after="0" w:line="240" w:lineRule="auto"/>
        <w:jc w:val="center"/>
        <w:rPr>
          <w:rFonts w:ascii="Arial" w:eastAsia="Times New Roman" w:hAnsi="Arial" w:cs="Arial"/>
          <w:b/>
          <w:color w:val="000000"/>
          <w:lang w:val="en-AU" w:eastAsia="x-none"/>
        </w:rPr>
      </w:pPr>
      <w:r w:rsidRPr="00962C06">
        <w:rPr>
          <w:rFonts w:ascii="Arial" w:eastAsia="Times New Roman" w:hAnsi="Arial" w:cs="Arial"/>
          <w:b/>
          <w:color w:val="000000"/>
          <w:lang w:val="en-AU" w:eastAsia="x-none"/>
        </w:rPr>
        <w:t>Financial Performance</w:t>
      </w:r>
    </w:p>
    <w:p w:rsidR="00627C45" w:rsidRPr="00962C06" w:rsidRDefault="00627C45" w:rsidP="00627C45">
      <w:pPr>
        <w:rPr>
          <w:rFonts w:ascii="Arial" w:hAnsi="Arial" w:cs="Arial"/>
          <w:b/>
          <w:u w:val="single"/>
        </w:rPr>
      </w:pPr>
    </w:p>
    <w:p w:rsidR="001008CD" w:rsidRDefault="00962C06" w:rsidP="0077204E">
      <w:pPr>
        <w:pStyle w:val="ListParagraph"/>
        <w:numPr>
          <w:ilvl w:val="0"/>
          <w:numId w:val="3"/>
        </w:numPr>
        <w:ind w:left="567" w:hanging="567"/>
        <w:rPr>
          <w:rFonts w:ascii="Arial" w:hAnsi="Arial" w:cs="Arial"/>
          <w:b/>
        </w:rPr>
      </w:pPr>
      <w:r w:rsidRPr="00962C06">
        <w:rPr>
          <w:rFonts w:ascii="Arial" w:hAnsi="Arial" w:cs="Arial"/>
          <w:b/>
        </w:rPr>
        <w:t>Introduction</w:t>
      </w:r>
    </w:p>
    <w:p w:rsidR="006417B8" w:rsidRPr="00962C06" w:rsidRDefault="006417B8" w:rsidP="006417B8">
      <w:pPr>
        <w:pStyle w:val="ListParagraph"/>
        <w:ind w:left="567"/>
        <w:rPr>
          <w:rFonts w:ascii="Arial" w:hAnsi="Arial" w:cs="Arial"/>
          <w:b/>
        </w:rPr>
      </w:pPr>
    </w:p>
    <w:p w:rsidR="006417B8" w:rsidRPr="005F6560" w:rsidRDefault="00962C06" w:rsidP="005F6560">
      <w:pPr>
        <w:pStyle w:val="ListParagraph"/>
        <w:numPr>
          <w:ilvl w:val="1"/>
          <w:numId w:val="3"/>
        </w:numPr>
        <w:rPr>
          <w:rFonts w:ascii="Arial" w:hAnsi="Arial" w:cs="Arial"/>
        </w:rPr>
      </w:pPr>
      <w:r w:rsidRPr="00962C06">
        <w:rPr>
          <w:rFonts w:ascii="Arial" w:hAnsi="Arial" w:cs="Arial"/>
        </w:rPr>
        <w:t xml:space="preserve">This paper provides a summary of the Trust’s financial performance for </w:t>
      </w:r>
      <w:r w:rsidR="00A66EAB">
        <w:rPr>
          <w:rFonts w:ascii="Arial" w:hAnsi="Arial" w:cs="Arial"/>
        </w:rPr>
        <w:t>May</w:t>
      </w:r>
      <w:r w:rsidR="003A531F">
        <w:rPr>
          <w:rFonts w:ascii="Arial" w:hAnsi="Arial" w:cs="Arial"/>
        </w:rPr>
        <w:t xml:space="preserve"> 2020</w:t>
      </w:r>
      <w:r w:rsidRPr="00962C06">
        <w:rPr>
          <w:rFonts w:ascii="Arial" w:hAnsi="Arial" w:cs="Arial"/>
        </w:rPr>
        <w:t xml:space="preserve">, </w:t>
      </w:r>
      <w:r w:rsidRPr="005F6560">
        <w:rPr>
          <w:rFonts w:ascii="Arial" w:hAnsi="Arial" w:cs="Arial"/>
        </w:rPr>
        <w:t xml:space="preserve">the </w:t>
      </w:r>
      <w:r w:rsidR="00A66EAB">
        <w:rPr>
          <w:rFonts w:ascii="Arial" w:hAnsi="Arial" w:cs="Arial"/>
        </w:rPr>
        <w:t>second</w:t>
      </w:r>
      <w:r w:rsidR="00724F21">
        <w:rPr>
          <w:rFonts w:ascii="Arial" w:hAnsi="Arial" w:cs="Arial"/>
        </w:rPr>
        <w:t xml:space="preserve"> </w:t>
      </w:r>
      <w:r w:rsidR="00245D7C">
        <w:rPr>
          <w:rFonts w:ascii="Arial" w:hAnsi="Arial" w:cs="Arial"/>
        </w:rPr>
        <w:t>month of the 2020-21</w:t>
      </w:r>
      <w:r w:rsidRPr="005F6560">
        <w:rPr>
          <w:rFonts w:ascii="Arial" w:hAnsi="Arial" w:cs="Arial"/>
        </w:rPr>
        <w:t xml:space="preserve"> </w:t>
      </w:r>
      <w:r w:rsidR="00C519B0">
        <w:rPr>
          <w:rFonts w:ascii="Arial" w:hAnsi="Arial" w:cs="Arial"/>
        </w:rPr>
        <w:t xml:space="preserve">financial </w:t>
      </w:r>
      <w:r w:rsidRPr="005F6560">
        <w:rPr>
          <w:rFonts w:ascii="Arial" w:hAnsi="Arial" w:cs="Arial"/>
        </w:rPr>
        <w:t>year.</w:t>
      </w:r>
    </w:p>
    <w:p w:rsidR="006417B8" w:rsidRDefault="006417B8" w:rsidP="006417B8">
      <w:pPr>
        <w:pStyle w:val="ListParagraph"/>
        <w:ind w:left="567"/>
        <w:jc w:val="both"/>
        <w:rPr>
          <w:rFonts w:ascii="Arial" w:hAnsi="Arial" w:cs="Arial"/>
        </w:rPr>
      </w:pPr>
    </w:p>
    <w:p w:rsidR="00031660" w:rsidRDefault="00E82808" w:rsidP="006417B8">
      <w:pPr>
        <w:pStyle w:val="ListParagraph"/>
        <w:ind w:left="567"/>
        <w:jc w:val="both"/>
        <w:rPr>
          <w:rFonts w:ascii="Arial" w:hAnsi="Arial" w:cs="Arial"/>
        </w:rPr>
      </w:pPr>
      <w:r>
        <w:rPr>
          <w:rFonts w:ascii="Arial" w:hAnsi="Arial" w:cs="Arial"/>
        </w:rPr>
        <w:t>Colleagues are asked to note the content of the report, and the associated risks.</w:t>
      </w:r>
    </w:p>
    <w:p w:rsidR="00946F28" w:rsidRPr="00962C06" w:rsidRDefault="00946F28" w:rsidP="006417B8">
      <w:pPr>
        <w:pStyle w:val="ListParagraph"/>
        <w:ind w:left="567"/>
        <w:jc w:val="both"/>
        <w:rPr>
          <w:rFonts w:ascii="Arial" w:hAnsi="Arial" w:cs="Arial"/>
        </w:rPr>
      </w:pPr>
    </w:p>
    <w:p w:rsidR="001008CD" w:rsidRPr="00962C06" w:rsidRDefault="00962C06" w:rsidP="0077204E">
      <w:pPr>
        <w:pStyle w:val="ListParagraph"/>
        <w:numPr>
          <w:ilvl w:val="0"/>
          <w:numId w:val="3"/>
        </w:numPr>
        <w:ind w:left="567" w:hanging="567"/>
        <w:rPr>
          <w:rFonts w:ascii="Arial" w:hAnsi="Arial" w:cs="Arial"/>
          <w:b/>
        </w:rPr>
      </w:pPr>
      <w:r w:rsidRPr="00962C06">
        <w:rPr>
          <w:rFonts w:ascii="Arial" w:hAnsi="Arial" w:cs="Arial"/>
          <w:b/>
        </w:rPr>
        <w:t xml:space="preserve">Summary Financial Performance </w:t>
      </w:r>
    </w:p>
    <w:p w:rsidR="004D509B" w:rsidRPr="00962C06" w:rsidRDefault="004D509B" w:rsidP="004D509B">
      <w:pPr>
        <w:pStyle w:val="ListParagraph"/>
        <w:ind w:left="567"/>
        <w:jc w:val="both"/>
        <w:rPr>
          <w:rFonts w:ascii="Arial" w:hAnsi="Arial" w:cs="Arial"/>
          <w:b/>
        </w:rPr>
      </w:pPr>
    </w:p>
    <w:p w:rsidR="00DD62C8" w:rsidRDefault="00A66EAB" w:rsidP="00F84F8F">
      <w:pPr>
        <w:pStyle w:val="ListParagraph"/>
        <w:numPr>
          <w:ilvl w:val="1"/>
          <w:numId w:val="3"/>
        </w:numPr>
        <w:jc w:val="both"/>
        <w:rPr>
          <w:rFonts w:ascii="Arial" w:hAnsi="Arial" w:cs="Arial"/>
        </w:rPr>
      </w:pPr>
      <w:r w:rsidRPr="00DD62C8">
        <w:rPr>
          <w:rFonts w:ascii="Arial" w:hAnsi="Arial" w:cs="Arial"/>
        </w:rPr>
        <w:t>For May</w:t>
      </w:r>
      <w:r w:rsidR="00962C06" w:rsidRPr="00DD62C8">
        <w:rPr>
          <w:rFonts w:ascii="Arial" w:hAnsi="Arial" w:cs="Arial"/>
        </w:rPr>
        <w:t xml:space="preserve"> the key financial headlines are:</w:t>
      </w:r>
      <w:r w:rsidR="00765326" w:rsidRPr="00DD62C8">
        <w:rPr>
          <w:rFonts w:ascii="Arial" w:hAnsi="Arial" w:cs="Arial"/>
        </w:rPr>
        <w:t xml:space="preserve"> </w:t>
      </w:r>
    </w:p>
    <w:p w:rsidR="00DD62C8" w:rsidRDefault="00DD62C8" w:rsidP="00DD62C8">
      <w:pPr>
        <w:pStyle w:val="ListParagraph"/>
        <w:ind w:left="567"/>
        <w:jc w:val="both"/>
        <w:rPr>
          <w:rFonts w:ascii="Arial" w:hAnsi="Arial" w:cs="Arial"/>
        </w:rPr>
      </w:pPr>
    </w:p>
    <w:p w:rsidR="00F84F8F" w:rsidRPr="00DD62C8" w:rsidRDefault="00DD62C8" w:rsidP="00DD62C8">
      <w:pPr>
        <w:pStyle w:val="ListParagraph"/>
        <w:ind w:left="567"/>
        <w:jc w:val="both"/>
        <w:rPr>
          <w:rFonts w:ascii="Arial" w:hAnsi="Arial" w:cs="Arial"/>
        </w:rPr>
      </w:pPr>
      <w:r w:rsidRPr="00DD62C8">
        <w:rPr>
          <w:noProof/>
          <w:lang w:eastAsia="en-GB"/>
        </w:rPr>
        <w:drawing>
          <wp:inline distT="0" distB="0" distL="0" distR="0" wp14:anchorId="6E5DDBD2" wp14:editId="21C6FB35">
            <wp:extent cx="5460521" cy="948905"/>
            <wp:effectExtent l="0" t="0" r="6985"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63617" cy="949443"/>
                    </a:xfrm>
                    <a:prstGeom prst="rect">
                      <a:avLst/>
                    </a:prstGeom>
                    <a:noFill/>
                    <a:ln>
                      <a:noFill/>
                    </a:ln>
                  </pic:spPr>
                </pic:pic>
              </a:graphicData>
            </a:graphic>
          </wp:inline>
        </w:drawing>
      </w:r>
    </w:p>
    <w:p w:rsidR="00087577" w:rsidRPr="003422FE" w:rsidRDefault="000D4B6D" w:rsidP="005C09C4">
      <w:pPr>
        <w:spacing w:after="0" w:line="240" w:lineRule="auto"/>
        <w:ind w:left="567"/>
        <w:rPr>
          <w:rFonts w:ascii="Arial" w:hAnsi="Arial" w:cs="Arial"/>
          <w:sz w:val="18"/>
          <w:szCs w:val="18"/>
        </w:rPr>
      </w:pPr>
      <w:r>
        <w:rPr>
          <w:rFonts w:ascii="Arial" w:hAnsi="Arial" w:cs="Arial"/>
          <w:sz w:val="18"/>
          <w:szCs w:val="18"/>
        </w:rPr>
        <w:t>*the plan for month 2</w:t>
      </w:r>
      <w:r w:rsidR="00087577" w:rsidRPr="003422FE">
        <w:rPr>
          <w:rFonts w:ascii="Arial" w:hAnsi="Arial" w:cs="Arial"/>
          <w:sz w:val="18"/>
          <w:szCs w:val="18"/>
        </w:rPr>
        <w:t xml:space="preserve"> is the original plan approved by the Board in March</w:t>
      </w:r>
      <w:r w:rsidR="00087577">
        <w:rPr>
          <w:rFonts w:ascii="Arial" w:hAnsi="Arial" w:cs="Arial"/>
          <w:sz w:val="18"/>
          <w:szCs w:val="18"/>
        </w:rPr>
        <w:t xml:space="preserve"> 2020</w:t>
      </w:r>
      <w:r w:rsidR="006014B8">
        <w:rPr>
          <w:rFonts w:ascii="Arial" w:hAnsi="Arial" w:cs="Arial"/>
          <w:sz w:val="18"/>
          <w:szCs w:val="18"/>
        </w:rPr>
        <w:t xml:space="preserve">, except for the Control Total which is the </w:t>
      </w:r>
      <w:r w:rsidR="005C09C4">
        <w:rPr>
          <w:rFonts w:ascii="Arial" w:hAnsi="Arial" w:cs="Arial"/>
          <w:sz w:val="18"/>
          <w:szCs w:val="18"/>
        </w:rPr>
        <w:t xml:space="preserve">revised </w:t>
      </w:r>
      <w:r w:rsidR="006014B8">
        <w:rPr>
          <w:rFonts w:ascii="Arial" w:hAnsi="Arial" w:cs="Arial"/>
          <w:sz w:val="18"/>
          <w:szCs w:val="18"/>
        </w:rPr>
        <w:t>NHSI plan issued to the Trust</w:t>
      </w:r>
    </w:p>
    <w:p w:rsidR="00DB00B4" w:rsidRPr="00F84F8F" w:rsidRDefault="00DB00B4" w:rsidP="00F84F8F">
      <w:pPr>
        <w:pStyle w:val="ListParagraph"/>
        <w:ind w:left="567"/>
        <w:jc w:val="both"/>
        <w:rPr>
          <w:rFonts w:ascii="Arial" w:hAnsi="Arial" w:cs="Arial"/>
        </w:rPr>
      </w:pPr>
    </w:p>
    <w:p w:rsidR="00F1488B" w:rsidRDefault="00F1488B" w:rsidP="00F1488B">
      <w:pPr>
        <w:pStyle w:val="ListParagraph"/>
        <w:numPr>
          <w:ilvl w:val="1"/>
          <w:numId w:val="3"/>
        </w:numPr>
        <w:jc w:val="both"/>
        <w:rPr>
          <w:rFonts w:ascii="Arial" w:hAnsi="Arial" w:cs="Arial"/>
        </w:rPr>
      </w:pPr>
      <w:r w:rsidRPr="00F1488B">
        <w:rPr>
          <w:rFonts w:ascii="Arial" w:hAnsi="Arial" w:cs="Arial"/>
        </w:rPr>
        <w:t xml:space="preserve">The Trust Board agreed a financial plan for 2020-21 and a draft plan was submitted to NHSI in March. However, due to the impact of the COVID-19 pandemic, </w:t>
      </w:r>
      <w:r w:rsidR="00742E32">
        <w:rPr>
          <w:rFonts w:ascii="Arial" w:hAnsi="Arial" w:cs="Arial"/>
        </w:rPr>
        <w:t>the national planning process, along with the</w:t>
      </w:r>
      <w:r w:rsidRPr="00F1488B">
        <w:rPr>
          <w:rFonts w:ascii="Arial" w:hAnsi="Arial" w:cs="Arial"/>
        </w:rPr>
        <w:t xml:space="preserve"> usual financial regime in the NHS has been suspended. The current interim arrangements are in place for April to July 2</w:t>
      </w:r>
      <w:r w:rsidR="005C09C4">
        <w:rPr>
          <w:rFonts w:ascii="Arial" w:hAnsi="Arial" w:cs="Arial"/>
        </w:rPr>
        <w:t>020 with the key elements being</w:t>
      </w:r>
    </w:p>
    <w:p w:rsidR="005C09C4" w:rsidRPr="00F1488B" w:rsidRDefault="005C09C4" w:rsidP="005C09C4">
      <w:pPr>
        <w:pStyle w:val="ListParagraph"/>
        <w:ind w:left="567"/>
        <w:jc w:val="both"/>
        <w:rPr>
          <w:rFonts w:ascii="Arial" w:hAnsi="Arial" w:cs="Arial"/>
        </w:rPr>
      </w:pPr>
    </w:p>
    <w:p w:rsidR="00F1488B" w:rsidRDefault="00F1488B" w:rsidP="00604D25">
      <w:pPr>
        <w:pStyle w:val="ListParagraph"/>
        <w:numPr>
          <w:ilvl w:val="0"/>
          <w:numId w:val="27"/>
        </w:numPr>
        <w:spacing w:after="0"/>
        <w:ind w:left="924"/>
        <w:rPr>
          <w:rFonts w:ascii="Arial" w:hAnsi="Arial" w:cs="Arial"/>
        </w:rPr>
      </w:pPr>
      <w:r>
        <w:rPr>
          <w:rFonts w:ascii="Arial" w:hAnsi="Arial" w:cs="Arial"/>
        </w:rPr>
        <w:t>Commissioning contracts have been suspended.</w:t>
      </w:r>
    </w:p>
    <w:p w:rsidR="00F1488B" w:rsidRDefault="00F1488B" w:rsidP="00604D25">
      <w:pPr>
        <w:pStyle w:val="ListParagraph"/>
        <w:numPr>
          <w:ilvl w:val="0"/>
          <w:numId w:val="27"/>
        </w:numPr>
        <w:spacing w:after="0"/>
        <w:ind w:left="924"/>
        <w:rPr>
          <w:rFonts w:ascii="Arial" w:hAnsi="Arial" w:cs="Arial"/>
        </w:rPr>
      </w:pPr>
      <w:r>
        <w:rPr>
          <w:rFonts w:ascii="Arial" w:hAnsi="Arial" w:cs="Arial"/>
        </w:rPr>
        <w:t>The financial risk rating metrics in the Strategic Outcomes Framework have been suspended.</w:t>
      </w:r>
    </w:p>
    <w:p w:rsidR="00F1488B" w:rsidRDefault="00F1488B" w:rsidP="00604D25">
      <w:pPr>
        <w:pStyle w:val="ListParagraph"/>
        <w:numPr>
          <w:ilvl w:val="0"/>
          <w:numId w:val="27"/>
        </w:numPr>
        <w:spacing w:after="0"/>
        <w:ind w:left="924"/>
        <w:rPr>
          <w:rFonts w:ascii="Arial" w:hAnsi="Arial" w:cs="Arial"/>
        </w:rPr>
      </w:pPr>
      <w:r>
        <w:rPr>
          <w:rFonts w:ascii="Arial" w:hAnsi="Arial" w:cs="Arial"/>
        </w:rPr>
        <w:t>NHSI did not complete the process for approving the annual plan and have issued Trust</w:t>
      </w:r>
      <w:r w:rsidR="005C09C4">
        <w:rPr>
          <w:rFonts w:ascii="Arial" w:hAnsi="Arial" w:cs="Arial"/>
        </w:rPr>
        <w:t>s</w:t>
      </w:r>
      <w:r>
        <w:rPr>
          <w:rFonts w:ascii="Arial" w:hAnsi="Arial" w:cs="Arial"/>
        </w:rPr>
        <w:t xml:space="preserve"> with</w:t>
      </w:r>
      <w:r w:rsidR="002B2ED2">
        <w:rPr>
          <w:rFonts w:ascii="Arial" w:hAnsi="Arial" w:cs="Arial"/>
        </w:rPr>
        <w:t xml:space="preserve"> revised plans based on income and expenditure </w:t>
      </w:r>
      <w:r>
        <w:rPr>
          <w:rFonts w:ascii="Arial" w:hAnsi="Arial" w:cs="Arial"/>
        </w:rPr>
        <w:t>run rates</w:t>
      </w:r>
      <w:r w:rsidR="002B2ED2">
        <w:rPr>
          <w:rFonts w:ascii="Arial" w:hAnsi="Arial" w:cs="Arial"/>
        </w:rPr>
        <w:t xml:space="preserve"> for November to January of 2019-20, </w:t>
      </w:r>
      <w:r>
        <w:rPr>
          <w:rFonts w:ascii="Arial" w:hAnsi="Arial" w:cs="Arial"/>
        </w:rPr>
        <w:t xml:space="preserve">uplifted to 2020-21 </w:t>
      </w:r>
      <w:r w:rsidR="008D10E5">
        <w:rPr>
          <w:rFonts w:ascii="Arial" w:hAnsi="Arial" w:cs="Arial"/>
        </w:rPr>
        <w:t>using a 2.8% inflator</w:t>
      </w:r>
      <w:r w:rsidR="002B2ED2">
        <w:rPr>
          <w:rFonts w:ascii="Arial" w:hAnsi="Arial" w:cs="Arial"/>
        </w:rPr>
        <w:t>. The plans currently only cover the period for April to July 2020.</w:t>
      </w:r>
    </w:p>
    <w:p w:rsidR="00F1488B" w:rsidRDefault="00F1488B" w:rsidP="00604D25">
      <w:pPr>
        <w:pStyle w:val="ListParagraph"/>
        <w:numPr>
          <w:ilvl w:val="0"/>
          <w:numId w:val="27"/>
        </w:numPr>
        <w:spacing w:after="0"/>
        <w:ind w:left="924"/>
        <w:rPr>
          <w:rFonts w:ascii="Arial" w:hAnsi="Arial" w:cs="Arial"/>
        </w:rPr>
      </w:pPr>
      <w:r>
        <w:rPr>
          <w:rFonts w:ascii="Arial" w:hAnsi="Arial" w:cs="Arial"/>
        </w:rPr>
        <w:t>The Trust is being funded based on cost rather than activity for the first 4 months of the year at least.</w:t>
      </w:r>
    </w:p>
    <w:p w:rsidR="00F1488B" w:rsidRDefault="00F1488B" w:rsidP="00604D25">
      <w:pPr>
        <w:pStyle w:val="ListParagraph"/>
        <w:numPr>
          <w:ilvl w:val="0"/>
          <w:numId w:val="27"/>
        </w:numPr>
        <w:spacing w:after="0"/>
        <w:ind w:left="924"/>
        <w:rPr>
          <w:rFonts w:ascii="Arial" w:hAnsi="Arial" w:cs="Arial"/>
        </w:rPr>
      </w:pPr>
      <w:r>
        <w:rPr>
          <w:rFonts w:ascii="Arial" w:hAnsi="Arial" w:cs="Arial"/>
        </w:rPr>
        <w:t>As a result all Trusts are expected to deliver a ‘breakeven’ position rather than their previously notified control total. For CCC the breakeven includes the subsidiary company performance.</w:t>
      </w:r>
    </w:p>
    <w:p w:rsidR="00F1488B" w:rsidRDefault="00F1488B" w:rsidP="00604D25">
      <w:pPr>
        <w:pStyle w:val="ListParagraph"/>
        <w:numPr>
          <w:ilvl w:val="0"/>
          <w:numId w:val="27"/>
        </w:numPr>
        <w:spacing w:after="0"/>
        <w:ind w:left="924"/>
        <w:rPr>
          <w:rFonts w:ascii="Arial" w:hAnsi="Arial" w:cs="Arial"/>
        </w:rPr>
      </w:pPr>
      <w:r>
        <w:rPr>
          <w:rFonts w:ascii="Arial" w:hAnsi="Arial" w:cs="Arial"/>
        </w:rPr>
        <w:t xml:space="preserve">To breakeven the Trust requires additional Top Up </w:t>
      </w:r>
      <w:r w:rsidRPr="00A8087B">
        <w:rPr>
          <w:rFonts w:ascii="Arial" w:hAnsi="Arial" w:cs="Arial"/>
        </w:rPr>
        <w:t xml:space="preserve">funding of </w:t>
      </w:r>
      <w:r w:rsidR="00A8087B" w:rsidRPr="00A8087B">
        <w:rPr>
          <w:rFonts w:ascii="Arial" w:hAnsi="Arial" w:cs="Arial"/>
        </w:rPr>
        <w:t>£4</w:t>
      </w:r>
      <w:r w:rsidRPr="00A8087B">
        <w:rPr>
          <w:rFonts w:ascii="Arial" w:hAnsi="Arial" w:cs="Arial"/>
        </w:rPr>
        <w:t>0k for April</w:t>
      </w:r>
      <w:r>
        <w:rPr>
          <w:rFonts w:ascii="Arial" w:hAnsi="Arial" w:cs="Arial"/>
        </w:rPr>
        <w:t>.</w:t>
      </w:r>
    </w:p>
    <w:p w:rsidR="00F1488B" w:rsidRDefault="00F1488B" w:rsidP="00604D25">
      <w:pPr>
        <w:pStyle w:val="ListParagraph"/>
        <w:numPr>
          <w:ilvl w:val="0"/>
          <w:numId w:val="27"/>
        </w:numPr>
        <w:spacing w:after="0"/>
        <w:ind w:left="924"/>
        <w:rPr>
          <w:rFonts w:ascii="Arial" w:hAnsi="Arial" w:cs="Arial"/>
        </w:rPr>
      </w:pPr>
      <w:r>
        <w:rPr>
          <w:rFonts w:ascii="Arial" w:hAnsi="Arial" w:cs="Arial"/>
        </w:rPr>
        <w:t xml:space="preserve">There is a lack of clarity about the financial regime for the remainder of the year although it is unlikely that </w:t>
      </w:r>
      <w:r w:rsidR="00561AB6">
        <w:rPr>
          <w:rFonts w:ascii="Arial" w:hAnsi="Arial" w:cs="Arial"/>
        </w:rPr>
        <w:t>contracting will resume in 2020-</w:t>
      </w:r>
      <w:r>
        <w:rPr>
          <w:rFonts w:ascii="Arial" w:hAnsi="Arial" w:cs="Arial"/>
        </w:rPr>
        <w:t>21.</w:t>
      </w:r>
    </w:p>
    <w:p w:rsidR="00742E32" w:rsidRDefault="00742E32" w:rsidP="00604D25">
      <w:pPr>
        <w:pStyle w:val="ListParagraph"/>
        <w:spacing w:after="0"/>
        <w:ind w:left="924"/>
        <w:rPr>
          <w:rFonts w:ascii="Arial" w:hAnsi="Arial" w:cs="Arial"/>
        </w:rPr>
      </w:pPr>
    </w:p>
    <w:p w:rsidR="002B2ED2" w:rsidRDefault="002B2ED2" w:rsidP="005C09C4">
      <w:pPr>
        <w:pStyle w:val="ListParagraph"/>
        <w:spacing w:after="0" w:line="240" w:lineRule="auto"/>
        <w:ind w:left="927"/>
        <w:rPr>
          <w:rFonts w:ascii="Arial" w:hAnsi="Arial" w:cs="Arial"/>
        </w:rPr>
      </w:pPr>
    </w:p>
    <w:p w:rsidR="0078503C" w:rsidRPr="005F28C5" w:rsidRDefault="00F84814" w:rsidP="00F84814">
      <w:pPr>
        <w:pStyle w:val="ListParagraph"/>
        <w:numPr>
          <w:ilvl w:val="0"/>
          <w:numId w:val="3"/>
        </w:numPr>
        <w:ind w:left="567" w:hanging="567"/>
        <w:rPr>
          <w:rFonts w:ascii="Arial" w:hAnsi="Arial" w:cs="Arial"/>
          <w:b/>
        </w:rPr>
      </w:pPr>
      <w:r w:rsidRPr="005F28C5">
        <w:rPr>
          <w:rFonts w:ascii="Arial" w:hAnsi="Arial" w:cs="Arial"/>
          <w:b/>
        </w:rPr>
        <w:lastRenderedPageBreak/>
        <w:t>Operational Financial Profile – Income and Expenditure</w:t>
      </w:r>
    </w:p>
    <w:p w:rsidR="00F84814" w:rsidRPr="005C09C4" w:rsidRDefault="00F84814" w:rsidP="00F84814">
      <w:pPr>
        <w:pStyle w:val="ListParagraph"/>
        <w:ind w:left="567"/>
        <w:rPr>
          <w:rFonts w:ascii="Arial" w:hAnsi="Arial" w:cs="Arial"/>
          <w:b/>
        </w:rPr>
      </w:pPr>
    </w:p>
    <w:p w:rsidR="00834B9C" w:rsidRPr="005F28C5" w:rsidRDefault="00834B9C" w:rsidP="00F84814">
      <w:pPr>
        <w:pStyle w:val="ListParagraph"/>
        <w:numPr>
          <w:ilvl w:val="1"/>
          <w:numId w:val="3"/>
        </w:numPr>
        <w:jc w:val="both"/>
        <w:rPr>
          <w:rFonts w:ascii="Arial" w:hAnsi="Arial" w:cs="Arial"/>
          <w:b/>
        </w:rPr>
      </w:pPr>
      <w:r w:rsidRPr="005C09C4">
        <w:rPr>
          <w:rFonts w:ascii="Arial" w:hAnsi="Arial" w:cs="Arial"/>
          <w:b/>
        </w:rPr>
        <w:t>Overall</w:t>
      </w:r>
      <w:r w:rsidRPr="005F28C5">
        <w:rPr>
          <w:rFonts w:ascii="Arial" w:hAnsi="Arial" w:cs="Arial"/>
          <w:b/>
        </w:rPr>
        <w:t xml:space="preserve"> Income and Expenditure </w:t>
      </w:r>
      <w:r w:rsidR="00FF5D7D" w:rsidRPr="005F28C5">
        <w:rPr>
          <w:rFonts w:ascii="Arial" w:hAnsi="Arial" w:cs="Arial"/>
          <w:b/>
        </w:rPr>
        <w:t>Position</w:t>
      </w:r>
    </w:p>
    <w:p w:rsidR="00834B9C" w:rsidRPr="005F28C5" w:rsidRDefault="00834B9C" w:rsidP="00834B9C">
      <w:pPr>
        <w:pStyle w:val="ListParagraph"/>
        <w:ind w:left="567"/>
        <w:jc w:val="both"/>
        <w:rPr>
          <w:rFonts w:ascii="Arial" w:hAnsi="Arial" w:cs="Arial"/>
          <w:b/>
        </w:rPr>
      </w:pPr>
    </w:p>
    <w:p w:rsidR="005C09C4" w:rsidRDefault="00834B9C" w:rsidP="00A21D17">
      <w:pPr>
        <w:pStyle w:val="ListParagraph"/>
        <w:numPr>
          <w:ilvl w:val="2"/>
          <w:numId w:val="3"/>
        </w:numPr>
        <w:ind w:left="567" w:hanging="567"/>
        <w:jc w:val="both"/>
        <w:rPr>
          <w:rFonts w:ascii="Arial" w:hAnsi="Arial" w:cs="Arial"/>
        </w:rPr>
      </w:pPr>
      <w:r w:rsidRPr="005F28C5">
        <w:rPr>
          <w:rFonts w:ascii="Arial" w:hAnsi="Arial" w:cs="Arial"/>
        </w:rPr>
        <w:t xml:space="preserve">The </w:t>
      </w:r>
      <w:r w:rsidR="005C09C4">
        <w:rPr>
          <w:rFonts w:ascii="Arial" w:hAnsi="Arial" w:cs="Arial"/>
        </w:rPr>
        <w:t>financial position of</w:t>
      </w:r>
      <w:r w:rsidR="00FE426F">
        <w:rPr>
          <w:rFonts w:ascii="Arial" w:hAnsi="Arial" w:cs="Arial"/>
        </w:rPr>
        <w:t xml:space="preserve"> the Trust at the end of month 2 is a small surplus of £</w:t>
      </w:r>
      <w:r w:rsidR="00391D51">
        <w:rPr>
          <w:rFonts w:ascii="Arial" w:hAnsi="Arial" w:cs="Arial"/>
        </w:rPr>
        <w:t>89</w:t>
      </w:r>
      <w:r w:rsidR="005C09C4">
        <w:rPr>
          <w:rFonts w:ascii="Arial" w:hAnsi="Arial" w:cs="Arial"/>
        </w:rPr>
        <w:t>k, against an original planned</w:t>
      </w:r>
      <w:r w:rsidR="00FE426F">
        <w:rPr>
          <w:rFonts w:ascii="Arial" w:hAnsi="Arial" w:cs="Arial"/>
        </w:rPr>
        <w:t xml:space="preserve"> deficit of (£</w:t>
      </w:r>
      <w:r w:rsidR="00391D51">
        <w:rPr>
          <w:rFonts w:ascii="Arial" w:hAnsi="Arial" w:cs="Arial"/>
        </w:rPr>
        <w:t>1,089</w:t>
      </w:r>
      <w:r w:rsidR="00FE426F">
        <w:rPr>
          <w:rFonts w:ascii="Arial" w:hAnsi="Arial" w:cs="Arial"/>
        </w:rPr>
        <w:t>k). The month 2</w:t>
      </w:r>
      <w:r w:rsidR="005C09C4">
        <w:rPr>
          <w:rFonts w:ascii="Arial" w:hAnsi="Arial" w:cs="Arial"/>
        </w:rPr>
        <w:t xml:space="preserve"> plan was a deficit due to phasing of clinical income on working days rather than 1/12</w:t>
      </w:r>
      <w:r w:rsidR="005C09C4">
        <w:rPr>
          <w:rFonts w:ascii="Arial" w:hAnsi="Arial" w:cs="Arial"/>
          <w:vertAlign w:val="superscript"/>
        </w:rPr>
        <w:t xml:space="preserve">ths </w:t>
      </w:r>
      <w:r w:rsidR="005C09C4">
        <w:rPr>
          <w:rFonts w:ascii="Arial" w:hAnsi="Arial" w:cs="Arial"/>
        </w:rPr>
        <w:t>and the back loading of the CIP programme to the second half of the year.</w:t>
      </w:r>
    </w:p>
    <w:p w:rsidR="005C09C4" w:rsidRDefault="005C09C4" w:rsidP="005C09C4">
      <w:pPr>
        <w:pStyle w:val="ListParagraph"/>
        <w:ind w:left="567"/>
        <w:jc w:val="both"/>
        <w:rPr>
          <w:rFonts w:ascii="Arial" w:hAnsi="Arial" w:cs="Arial"/>
        </w:rPr>
      </w:pPr>
    </w:p>
    <w:p w:rsidR="00834B9C" w:rsidRPr="005F28C5" w:rsidRDefault="00834B9C" w:rsidP="00A21D17">
      <w:pPr>
        <w:pStyle w:val="ListParagraph"/>
        <w:numPr>
          <w:ilvl w:val="2"/>
          <w:numId w:val="3"/>
        </w:numPr>
        <w:ind w:left="567" w:hanging="567"/>
        <w:jc w:val="both"/>
        <w:rPr>
          <w:rFonts w:ascii="Arial" w:hAnsi="Arial" w:cs="Arial"/>
        </w:rPr>
      </w:pPr>
      <w:r w:rsidRPr="005F28C5">
        <w:rPr>
          <w:rFonts w:ascii="Arial" w:hAnsi="Arial" w:cs="Arial"/>
        </w:rPr>
        <w:t>T</w:t>
      </w:r>
      <w:r w:rsidR="00FC7F21" w:rsidRPr="005F28C5">
        <w:rPr>
          <w:rFonts w:ascii="Arial" w:hAnsi="Arial" w:cs="Arial"/>
        </w:rPr>
        <w:t>he table below summ</w:t>
      </w:r>
      <w:r w:rsidR="00263A51" w:rsidRPr="005F28C5">
        <w:rPr>
          <w:rFonts w:ascii="Arial" w:hAnsi="Arial" w:cs="Arial"/>
        </w:rPr>
        <w:t xml:space="preserve">arises. Please see Appendix 1 for the more detailed </w:t>
      </w:r>
      <w:r w:rsidR="00A4298E" w:rsidRPr="005F28C5">
        <w:rPr>
          <w:rFonts w:ascii="Arial" w:hAnsi="Arial" w:cs="Arial"/>
        </w:rPr>
        <w:t>I</w:t>
      </w:r>
      <w:r w:rsidR="002A116C" w:rsidRPr="005F28C5">
        <w:rPr>
          <w:rFonts w:ascii="Arial" w:hAnsi="Arial" w:cs="Arial"/>
        </w:rPr>
        <w:t xml:space="preserve">ncome </w:t>
      </w:r>
      <w:r w:rsidR="00A4298E" w:rsidRPr="005F28C5">
        <w:rPr>
          <w:rFonts w:ascii="Arial" w:hAnsi="Arial" w:cs="Arial"/>
        </w:rPr>
        <w:t>&amp;</w:t>
      </w:r>
      <w:r w:rsidR="002A116C" w:rsidRPr="005F28C5">
        <w:rPr>
          <w:rFonts w:ascii="Arial" w:hAnsi="Arial" w:cs="Arial"/>
        </w:rPr>
        <w:t xml:space="preserve"> </w:t>
      </w:r>
      <w:r w:rsidR="00A4298E" w:rsidRPr="005F28C5">
        <w:rPr>
          <w:rFonts w:ascii="Arial" w:hAnsi="Arial" w:cs="Arial"/>
        </w:rPr>
        <w:t>E</w:t>
      </w:r>
      <w:r w:rsidR="002A116C" w:rsidRPr="005F28C5">
        <w:rPr>
          <w:rFonts w:ascii="Arial" w:hAnsi="Arial" w:cs="Arial"/>
        </w:rPr>
        <w:t>xpenditure position</w:t>
      </w:r>
      <w:r w:rsidR="00686498" w:rsidRPr="005F28C5">
        <w:rPr>
          <w:rFonts w:ascii="Arial" w:hAnsi="Arial" w:cs="Arial"/>
        </w:rPr>
        <w:t>.</w:t>
      </w:r>
    </w:p>
    <w:p w:rsidR="00193DF0" w:rsidRPr="001952FA" w:rsidRDefault="00193DF0" w:rsidP="00193DF0">
      <w:pPr>
        <w:pStyle w:val="ListParagraph"/>
        <w:ind w:left="567"/>
        <w:jc w:val="both"/>
        <w:rPr>
          <w:rFonts w:ascii="Arial" w:hAnsi="Arial" w:cs="Arial"/>
          <w:highlight w:val="yellow"/>
        </w:rPr>
      </w:pPr>
    </w:p>
    <w:p w:rsidR="0045507C" w:rsidRPr="00071C26" w:rsidRDefault="00C229B9" w:rsidP="00071C26">
      <w:pPr>
        <w:pStyle w:val="ListParagraph"/>
        <w:ind w:left="567"/>
        <w:jc w:val="both"/>
        <w:rPr>
          <w:rFonts w:ascii="Arial" w:hAnsi="Arial" w:cs="Arial"/>
          <w:highlight w:val="yellow"/>
        </w:rPr>
      </w:pPr>
      <w:r w:rsidRPr="00C229B9">
        <w:rPr>
          <w:noProof/>
          <w:lang w:eastAsia="en-GB"/>
        </w:rPr>
        <w:drawing>
          <wp:inline distT="0" distB="0" distL="0" distR="0" wp14:anchorId="02CEED5A" wp14:editId="577435FD">
            <wp:extent cx="5417389" cy="141430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31695" cy="1418038"/>
                    </a:xfrm>
                    <a:prstGeom prst="rect">
                      <a:avLst/>
                    </a:prstGeom>
                    <a:noFill/>
                    <a:ln>
                      <a:noFill/>
                    </a:ln>
                  </pic:spPr>
                </pic:pic>
              </a:graphicData>
            </a:graphic>
          </wp:inline>
        </w:drawing>
      </w:r>
    </w:p>
    <w:p w:rsidR="00834B9C" w:rsidRPr="006948E2" w:rsidRDefault="00834B9C" w:rsidP="00834B9C">
      <w:pPr>
        <w:pStyle w:val="ListParagraph"/>
        <w:ind w:left="567"/>
        <w:jc w:val="both"/>
        <w:rPr>
          <w:rFonts w:ascii="Arial" w:hAnsi="Arial" w:cs="Arial"/>
        </w:rPr>
      </w:pPr>
    </w:p>
    <w:p w:rsidR="005C09C4" w:rsidRDefault="005C09C4" w:rsidP="005C09C4">
      <w:pPr>
        <w:pStyle w:val="ListParagraph"/>
        <w:numPr>
          <w:ilvl w:val="2"/>
          <w:numId w:val="3"/>
        </w:numPr>
        <w:ind w:left="567" w:hanging="567"/>
        <w:jc w:val="both"/>
        <w:rPr>
          <w:rFonts w:ascii="Arial" w:hAnsi="Arial" w:cs="Arial"/>
        </w:rPr>
      </w:pPr>
      <w:r>
        <w:rPr>
          <w:rFonts w:ascii="Arial" w:hAnsi="Arial" w:cs="Arial"/>
        </w:rPr>
        <w:t xml:space="preserve">The </w:t>
      </w:r>
      <w:r w:rsidR="00FE426F">
        <w:rPr>
          <w:rFonts w:ascii="Arial" w:hAnsi="Arial" w:cs="Arial"/>
        </w:rPr>
        <w:t>Month 2</w:t>
      </w:r>
      <w:r w:rsidR="00A57755">
        <w:rPr>
          <w:rFonts w:ascii="Arial" w:hAnsi="Arial" w:cs="Arial"/>
        </w:rPr>
        <w:t xml:space="preserve"> </w:t>
      </w:r>
      <w:r>
        <w:rPr>
          <w:rFonts w:ascii="Arial" w:hAnsi="Arial" w:cs="Arial"/>
        </w:rPr>
        <w:t xml:space="preserve">NHSI Plan shown above is the revised plan issued by NHSI which only covers April to July. The plan is not </w:t>
      </w:r>
      <w:r w:rsidR="00715FD3">
        <w:rPr>
          <w:rFonts w:ascii="Arial" w:hAnsi="Arial" w:cs="Arial"/>
        </w:rPr>
        <w:t xml:space="preserve">the same plan as the draft </w:t>
      </w:r>
      <w:r>
        <w:rPr>
          <w:rFonts w:ascii="Arial" w:hAnsi="Arial" w:cs="Arial"/>
        </w:rPr>
        <w:t xml:space="preserve">submitted </w:t>
      </w:r>
      <w:r w:rsidR="00715FD3">
        <w:rPr>
          <w:rFonts w:ascii="Arial" w:hAnsi="Arial" w:cs="Arial"/>
        </w:rPr>
        <w:t>by the Trust in March. NHSI have calculated plans for all organisations based on historic run rates for income and expendi</w:t>
      </w:r>
      <w:r w:rsidR="008D10E5">
        <w:rPr>
          <w:rFonts w:ascii="Arial" w:hAnsi="Arial" w:cs="Arial"/>
        </w:rPr>
        <w:t xml:space="preserve">ture from 2019-20 uplifted to </w:t>
      </w:r>
      <w:r w:rsidR="00715FD3">
        <w:rPr>
          <w:rFonts w:ascii="Arial" w:hAnsi="Arial" w:cs="Arial"/>
        </w:rPr>
        <w:t xml:space="preserve">2020-21 </w:t>
      </w:r>
      <w:r w:rsidR="008D10E5">
        <w:rPr>
          <w:rFonts w:ascii="Arial" w:hAnsi="Arial" w:cs="Arial"/>
        </w:rPr>
        <w:t>using a 2.8% inflator</w:t>
      </w:r>
      <w:r w:rsidR="00715FD3">
        <w:rPr>
          <w:rFonts w:ascii="Arial" w:hAnsi="Arial" w:cs="Arial"/>
        </w:rPr>
        <w:t>.</w:t>
      </w:r>
    </w:p>
    <w:p w:rsidR="00715FD3" w:rsidRDefault="00715FD3" w:rsidP="00715FD3">
      <w:pPr>
        <w:pStyle w:val="ListParagraph"/>
        <w:ind w:left="567"/>
        <w:jc w:val="both"/>
        <w:rPr>
          <w:rFonts w:ascii="Arial" w:hAnsi="Arial" w:cs="Arial"/>
        </w:rPr>
      </w:pPr>
    </w:p>
    <w:p w:rsidR="00715FD3" w:rsidRDefault="00715FD3" w:rsidP="005C09C4">
      <w:pPr>
        <w:pStyle w:val="ListParagraph"/>
        <w:numPr>
          <w:ilvl w:val="2"/>
          <w:numId w:val="3"/>
        </w:numPr>
        <w:ind w:left="567" w:hanging="567"/>
        <w:jc w:val="both"/>
        <w:rPr>
          <w:rFonts w:ascii="Arial" w:hAnsi="Arial" w:cs="Arial"/>
        </w:rPr>
      </w:pPr>
      <w:r>
        <w:rPr>
          <w:rFonts w:ascii="Arial" w:hAnsi="Arial" w:cs="Arial"/>
        </w:rPr>
        <w:t xml:space="preserve">The Trust is being funded on </w:t>
      </w:r>
      <w:r w:rsidR="00A57755">
        <w:rPr>
          <w:rFonts w:ascii="Arial" w:hAnsi="Arial" w:cs="Arial"/>
        </w:rPr>
        <w:t xml:space="preserve">a </w:t>
      </w:r>
      <w:r>
        <w:rPr>
          <w:rFonts w:ascii="Arial" w:hAnsi="Arial" w:cs="Arial"/>
        </w:rPr>
        <w:t>cost</w:t>
      </w:r>
      <w:r w:rsidR="00A57755">
        <w:rPr>
          <w:rFonts w:ascii="Arial" w:hAnsi="Arial" w:cs="Arial"/>
        </w:rPr>
        <w:t xml:space="preserve"> basis</w:t>
      </w:r>
      <w:r>
        <w:rPr>
          <w:rFonts w:ascii="Arial" w:hAnsi="Arial" w:cs="Arial"/>
        </w:rPr>
        <w:t xml:space="preserve"> rather than activit</w:t>
      </w:r>
      <w:r w:rsidR="00FE426F">
        <w:rPr>
          <w:rFonts w:ascii="Arial" w:hAnsi="Arial" w:cs="Arial"/>
        </w:rPr>
        <w:t>y for April to July. For month 2</w:t>
      </w:r>
      <w:r>
        <w:rPr>
          <w:rFonts w:ascii="Arial" w:hAnsi="Arial" w:cs="Arial"/>
        </w:rPr>
        <w:t xml:space="preserve"> the Trust has assumed </w:t>
      </w:r>
      <w:r w:rsidR="00527672">
        <w:rPr>
          <w:rFonts w:ascii="Arial" w:hAnsi="Arial" w:cs="Arial"/>
        </w:rPr>
        <w:t>additional Top Up income of £40</w:t>
      </w:r>
      <w:r>
        <w:rPr>
          <w:rFonts w:ascii="Arial" w:hAnsi="Arial" w:cs="Arial"/>
        </w:rPr>
        <w:t xml:space="preserve">k is required to deliver a break even Control Total Surplus. </w:t>
      </w:r>
    </w:p>
    <w:p w:rsidR="008B53BD" w:rsidRPr="008B53BD" w:rsidRDefault="008B53BD" w:rsidP="008B53BD">
      <w:pPr>
        <w:pStyle w:val="ListParagraph"/>
        <w:rPr>
          <w:rFonts w:ascii="Arial" w:hAnsi="Arial" w:cs="Arial"/>
        </w:rPr>
      </w:pPr>
    </w:p>
    <w:p w:rsidR="005C09C4" w:rsidRPr="008B53BD" w:rsidRDefault="00C229B9" w:rsidP="005C09C4">
      <w:pPr>
        <w:pStyle w:val="ListParagraph"/>
        <w:numPr>
          <w:ilvl w:val="2"/>
          <w:numId w:val="3"/>
        </w:numPr>
        <w:ind w:left="567" w:hanging="567"/>
        <w:jc w:val="both"/>
        <w:rPr>
          <w:rFonts w:ascii="Arial" w:hAnsi="Arial" w:cs="Arial"/>
        </w:rPr>
      </w:pPr>
      <w:r w:rsidRPr="00C229B9">
        <w:rPr>
          <w:noProof/>
          <w:lang w:eastAsia="en-GB"/>
        </w:rPr>
        <w:drawing>
          <wp:anchor distT="0" distB="0" distL="114300" distR="114300" simplePos="0" relativeHeight="251660288" behindDoc="0" locked="0" layoutInCell="1" allowOverlap="1" wp14:anchorId="7A4AD740" wp14:editId="2430BDB2">
            <wp:simplePos x="0" y="0"/>
            <wp:positionH relativeFrom="column">
              <wp:posOffset>982980</wp:posOffset>
            </wp:positionH>
            <wp:positionV relativeFrom="paragraph">
              <wp:posOffset>366395</wp:posOffset>
            </wp:positionV>
            <wp:extent cx="2717800" cy="2310765"/>
            <wp:effectExtent l="0" t="0" r="635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17800" cy="23107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34B9C" w:rsidRPr="008B53BD">
        <w:rPr>
          <w:rFonts w:ascii="Arial" w:hAnsi="Arial" w:cs="Arial"/>
        </w:rPr>
        <w:t>The</w:t>
      </w:r>
      <w:r w:rsidR="005C09C4" w:rsidRPr="008B53BD">
        <w:rPr>
          <w:rFonts w:ascii="Arial" w:hAnsi="Arial" w:cs="Arial"/>
        </w:rPr>
        <w:t xml:space="preserve"> table below summaries the position against the revised NHSI </w:t>
      </w:r>
      <w:r w:rsidR="00561AB6" w:rsidRPr="008B53BD">
        <w:rPr>
          <w:rFonts w:ascii="Arial" w:hAnsi="Arial" w:cs="Arial"/>
        </w:rPr>
        <w:t>target of breakeven</w:t>
      </w:r>
      <w:r w:rsidR="005C09C4" w:rsidRPr="008B53BD">
        <w:rPr>
          <w:rFonts w:ascii="Arial" w:hAnsi="Arial" w:cs="Arial"/>
        </w:rPr>
        <w:t>.</w:t>
      </w:r>
    </w:p>
    <w:p w:rsidR="00742E32" w:rsidRDefault="00742E32" w:rsidP="00715FD3">
      <w:pPr>
        <w:pStyle w:val="ListParagraph"/>
        <w:ind w:left="567"/>
        <w:jc w:val="both"/>
        <w:rPr>
          <w:rFonts w:ascii="Arial" w:hAnsi="Arial" w:cs="Arial"/>
        </w:rPr>
      </w:pPr>
    </w:p>
    <w:p w:rsidR="00DD62C8" w:rsidRDefault="00DD62C8" w:rsidP="00715FD3">
      <w:pPr>
        <w:pStyle w:val="ListParagraph"/>
        <w:ind w:left="567"/>
        <w:jc w:val="both"/>
        <w:rPr>
          <w:rFonts w:ascii="Arial" w:hAnsi="Arial" w:cs="Arial"/>
        </w:rPr>
      </w:pPr>
    </w:p>
    <w:p w:rsidR="00765326" w:rsidRDefault="00765326" w:rsidP="00715FD3">
      <w:pPr>
        <w:pStyle w:val="ListParagraph"/>
        <w:ind w:left="567"/>
        <w:jc w:val="both"/>
        <w:rPr>
          <w:rFonts w:ascii="Arial" w:hAnsi="Arial" w:cs="Arial"/>
        </w:rPr>
      </w:pPr>
    </w:p>
    <w:p w:rsidR="00622A3C" w:rsidRPr="00071C26" w:rsidRDefault="006B04C6" w:rsidP="00622A3C">
      <w:pPr>
        <w:pStyle w:val="ListParagraph"/>
        <w:numPr>
          <w:ilvl w:val="1"/>
          <w:numId w:val="3"/>
        </w:numPr>
        <w:jc w:val="both"/>
        <w:rPr>
          <w:rFonts w:ascii="Arial" w:hAnsi="Arial" w:cs="Arial"/>
          <w:b/>
        </w:rPr>
      </w:pPr>
      <w:r>
        <w:rPr>
          <w:rFonts w:ascii="Arial" w:hAnsi="Arial" w:cs="Arial"/>
          <w:b/>
        </w:rPr>
        <w:lastRenderedPageBreak/>
        <w:t xml:space="preserve">Income, Expenditure </w:t>
      </w:r>
      <w:r w:rsidR="00F84814" w:rsidRPr="00071C26">
        <w:rPr>
          <w:rFonts w:ascii="Arial" w:hAnsi="Arial" w:cs="Arial"/>
          <w:b/>
        </w:rPr>
        <w:t>and Activity</w:t>
      </w:r>
    </w:p>
    <w:p w:rsidR="00F84814" w:rsidRPr="00071C26" w:rsidRDefault="00F84814" w:rsidP="00F84814">
      <w:pPr>
        <w:pStyle w:val="ListParagraph"/>
        <w:ind w:left="567"/>
        <w:jc w:val="both"/>
        <w:rPr>
          <w:rFonts w:ascii="Arial" w:hAnsi="Arial" w:cs="Arial"/>
          <w:b/>
        </w:rPr>
      </w:pPr>
    </w:p>
    <w:p w:rsidR="00417513" w:rsidRDefault="00A57755" w:rsidP="006B04C6">
      <w:pPr>
        <w:pStyle w:val="ListParagraph"/>
        <w:numPr>
          <w:ilvl w:val="2"/>
          <w:numId w:val="3"/>
        </w:numPr>
        <w:ind w:left="567" w:hanging="567"/>
        <w:jc w:val="both"/>
        <w:rPr>
          <w:rFonts w:ascii="Arial" w:hAnsi="Arial" w:cs="Arial"/>
        </w:rPr>
      </w:pPr>
      <w:r>
        <w:rPr>
          <w:rFonts w:ascii="Arial" w:hAnsi="Arial" w:cs="Arial"/>
        </w:rPr>
        <w:t>Although the Trust is</w:t>
      </w:r>
      <w:r w:rsidR="00071C26" w:rsidRPr="00715FD3">
        <w:rPr>
          <w:rFonts w:ascii="Arial" w:hAnsi="Arial" w:cs="Arial"/>
        </w:rPr>
        <w:t xml:space="preserve"> not being currently funded on activity it is important to still monitor and see the impact of COVID-19 on Trust activity</w:t>
      </w:r>
      <w:r w:rsidR="00561AB6">
        <w:rPr>
          <w:rFonts w:ascii="Arial" w:hAnsi="Arial" w:cs="Arial"/>
        </w:rPr>
        <w:t xml:space="preserve"> and notional PbR income</w:t>
      </w:r>
      <w:r w:rsidR="006B04C6" w:rsidRPr="00715FD3">
        <w:rPr>
          <w:rFonts w:ascii="Arial" w:hAnsi="Arial" w:cs="Arial"/>
        </w:rPr>
        <w:t>.</w:t>
      </w:r>
      <w:r w:rsidR="00715FD3" w:rsidRPr="00715FD3">
        <w:rPr>
          <w:rFonts w:ascii="Arial" w:hAnsi="Arial" w:cs="Arial"/>
        </w:rPr>
        <w:t xml:space="preserve"> </w:t>
      </w:r>
      <w:r w:rsidR="00417513" w:rsidRPr="00715FD3">
        <w:rPr>
          <w:rFonts w:ascii="Arial" w:hAnsi="Arial" w:cs="Arial"/>
        </w:rPr>
        <w:t>The graphs</w:t>
      </w:r>
      <w:r w:rsidR="00715FD3">
        <w:rPr>
          <w:rFonts w:ascii="Arial" w:hAnsi="Arial" w:cs="Arial"/>
        </w:rPr>
        <w:t xml:space="preserve"> below</w:t>
      </w:r>
      <w:r w:rsidR="00417513" w:rsidRPr="00715FD3">
        <w:rPr>
          <w:rFonts w:ascii="Arial" w:hAnsi="Arial" w:cs="Arial"/>
        </w:rPr>
        <w:t xml:space="preserve"> indicate that there has been a significant reduction in activity against plan.</w:t>
      </w:r>
      <w:r w:rsidR="00604D25">
        <w:rPr>
          <w:rFonts w:ascii="Arial" w:hAnsi="Arial" w:cs="Arial"/>
        </w:rPr>
        <w:t xml:space="preserve"> </w:t>
      </w:r>
    </w:p>
    <w:p w:rsidR="00640F2C" w:rsidRPr="00715FD3" w:rsidRDefault="00640F2C" w:rsidP="00640F2C">
      <w:pPr>
        <w:pStyle w:val="ListParagraph"/>
        <w:ind w:left="567"/>
        <w:jc w:val="both"/>
        <w:rPr>
          <w:rFonts w:ascii="Arial" w:hAnsi="Arial" w:cs="Arial"/>
        </w:rPr>
      </w:pPr>
    </w:p>
    <w:p w:rsidR="00622A3C" w:rsidRPr="001952FA" w:rsidRDefault="00AF4B6F" w:rsidP="00765326">
      <w:pPr>
        <w:pStyle w:val="ListParagraph"/>
        <w:ind w:left="567"/>
        <w:jc w:val="both"/>
        <w:rPr>
          <w:rFonts w:ascii="Arial" w:hAnsi="Arial" w:cs="Arial"/>
          <w:highlight w:val="yellow"/>
        </w:rPr>
      </w:pPr>
      <w:r>
        <w:rPr>
          <w:noProof/>
          <w:lang w:eastAsia="en-GB"/>
        </w:rPr>
        <w:drawing>
          <wp:inline distT="0" distB="0" distL="0" distR="0" wp14:anchorId="0B0AC437" wp14:editId="67546EED">
            <wp:extent cx="5020574" cy="4123427"/>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021667" cy="4124325"/>
                    </a:xfrm>
                    <a:prstGeom prst="rect">
                      <a:avLst/>
                    </a:prstGeom>
                  </pic:spPr>
                </pic:pic>
              </a:graphicData>
            </a:graphic>
          </wp:inline>
        </w:drawing>
      </w:r>
    </w:p>
    <w:p w:rsidR="00604D25" w:rsidRDefault="00604D25" w:rsidP="00AF4B6F">
      <w:pPr>
        <w:pStyle w:val="ListParagraph"/>
        <w:ind w:left="141"/>
        <w:jc w:val="both"/>
        <w:rPr>
          <w:rFonts w:ascii="Arial" w:hAnsi="Arial" w:cs="Arial"/>
        </w:rPr>
      </w:pPr>
    </w:p>
    <w:p w:rsidR="00765326" w:rsidRDefault="00765326" w:rsidP="00604D25">
      <w:pPr>
        <w:pStyle w:val="ListParagraph"/>
        <w:numPr>
          <w:ilvl w:val="2"/>
          <w:numId w:val="3"/>
        </w:numPr>
        <w:ind w:left="567" w:hanging="567"/>
        <w:jc w:val="both"/>
        <w:rPr>
          <w:rFonts w:ascii="Arial" w:hAnsi="Arial" w:cs="Arial"/>
        </w:rPr>
      </w:pPr>
      <w:r>
        <w:rPr>
          <w:rFonts w:ascii="Arial" w:hAnsi="Arial" w:cs="Arial"/>
        </w:rPr>
        <w:t xml:space="preserve">Out-patient </w:t>
      </w:r>
      <w:r w:rsidRPr="00765326">
        <w:rPr>
          <w:rFonts w:ascii="Arial" w:hAnsi="Arial" w:cs="Arial"/>
        </w:rPr>
        <w:t>1st attends have fallen significantly in April and May reflecting the reduction in patient referrals to the Trust in the COVID period. It should be noted however, that although follow up out-patient attendances have also fallen materially, there has been a significant increase in non-face to face a</w:t>
      </w:r>
      <w:r>
        <w:rPr>
          <w:rFonts w:ascii="Arial" w:hAnsi="Arial" w:cs="Arial"/>
        </w:rPr>
        <w:t>ppointments (19,271 in the 2 months</w:t>
      </w:r>
      <w:r w:rsidRPr="00765326">
        <w:rPr>
          <w:rFonts w:ascii="Arial" w:hAnsi="Arial" w:cs="Arial"/>
        </w:rPr>
        <w:t xml:space="preserve"> compared to the original plan of 5,117).</w:t>
      </w:r>
    </w:p>
    <w:p w:rsidR="00765326" w:rsidRDefault="00765326" w:rsidP="00765326">
      <w:pPr>
        <w:pStyle w:val="ListParagraph"/>
        <w:ind w:left="567"/>
        <w:jc w:val="both"/>
        <w:rPr>
          <w:rFonts w:ascii="Arial" w:hAnsi="Arial" w:cs="Arial"/>
        </w:rPr>
      </w:pPr>
    </w:p>
    <w:p w:rsidR="00604D25" w:rsidRDefault="00604D25" w:rsidP="00604D25">
      <w:pPr>
        <w:pStyle w:val="ListParagraph"/>
        <w:numPr>
          <w:ilvl w:val="2"/>
          <w:numId w:val="3"/>
        </w:numPr>
        <w:ind w:left="567" w:hanging="567"/>
        <w:jc w:val="both"/>
        <w:rPr>
          <w:rFonts w:ascii="Arial" w:hAnsi="Arial" w:cs="Arial"/>
        </w:rPr>
      </w:pPr>
      <w:r>
        <w:rPr>
          <w:rFonts w:ascii="Arial" w:hAnsi="Arial" w:cs="Arial"/>
        </w:rPr>
        <w:t>All major English commissioners are paying the Trust block amounts based on notified values from NHSE. Welsh commissioners have also followed the approach adopted by the English NHS. The main issue with clinical income re</w:t>
      </w:r>
      <w:r w:rsidR="00765326">
        <w:rPr>
          <w:rFonts w:ascii="Arial" w:hAnsi="Arial" w:cs="Arial"/>
        </w:rPr>
        <w:t>mains</w:t>
      </w:r>
      <w:r>
        <w:rPr>
          <w:rFonts w:ascii="Arial" w:hAnsi="Arial" w:cs="Arial"/>
        </w:rPr>
        <w:t xml:space="preserve"> the Isle of Man, </w:t>
      </w:r>
      <w:r w:rsidR="00765326">
        <w:rPr>
          <w:rFonts w:ascii="Arial" w:hAnsi="Arial" w:cs="Arial"/>
        </w:rPr>
        <w:t xml:space="preserve">as </w:t>
      </w:r>
      <w:r>
        <w:rPr>
          <w:rFonts w:ascii="Arial" w:hAnsi="Arial" w:cs="Arial"/>
        </w:rPr>
        <w:t xml:space="preserve"> all English Trusts have been notified by the Manx government that they will pay block amounts covering April to July, but expect a retrospective refund for any underperformance on activity. This difference of approach has been flagged with NHSI to be discussed nationally.</w:t>
      </w:r>
    </w:p>
    <w:p w:rsidR="00604D25" w:rsidRPr="00604D25" w:rsidRDefault="00604D25" w:rsidP="00604D25">
      <w:pPr>
        <w:pStyle w:val="ListParagraph"/>
        <w:rPr>
          <w:rFonts w:ascii="Arial" w:hAnsi="Arial" w:cs="Arial"/>
        </w:rPr>
      </w:pPr>
    </w:p>
    <w:p w:rsidR="00715FD3" w:rsidRDefault="00715FD3" w:rsidP="00715FD3">
      <w:pPr>
        <w:pStyle w:val="ListParagraph"/>
        <w:numPr>
          <w:ilvl w:val="2"/>
          <w:numId w:val="3"/>
        </w:numPr>
        <w:ind w:left="567" w:hanging="567"/>
        <w:jc w:val="both"/>
        <w:rPr>
          <w:rFonts w:ascii="Arial" w:hAnsi="Arial" w:cs="Arial"/>
        </w:rPr>
      </w:pPr>
      <w:r w:rsidRPr="00417513">
        <w:rPr>
          <w:rFonts w:ascii="Arial" w:hAnsi="Arial" w:cs="Arial"/>
        </w:rPr>
        <w:t xml:space="preserve">The Trust is working across the Directorates and </w:t>
      </w:r>
      <w:r>
        <w:rPr>
          <w:rFonts w:ascii="Arial" w:hAnsi="Arial" w:cs="Arial"/>
        </w:rPr>
        <w:t xml:space="preserve">with </w:t>
      </w:r>
      <w:r w:rsidRPr="00417513">
        <w:rPr>
          <w:rFonts w:ascii="Arial" w:hAnsi="Arial" w:cs="Arial"/>
        </w:rPr>
        <w:t xml:space="preserve">SRGs </w:t>
      </w:r>
      <w:r>
        <w:rPr>
          <w:rFonts w:ascii="Arial" w:hAnsi="Arial" w:cs="Arial"/>
        </w:rPr>
        <w:t xml:space="preserve">to assess demand </w:t>
      </w:r>
      <w:r w:rsidRPr="00417513">
        <w:rPr>
          <w:rFonts w:ascii="Arial" w:hAnsi="Arial" w:cs="Arial"/>
        </w:rPr>
        <w:t>a</w:t>
      </w:r>
      <w:r>
        <w:rPr>
          <w:rFonts w:ascii="Arial" w:hAnsi="Arial" w:cs="Arial"/>
        </w:rPr>
        <w:t>n</w:t>
      </w:r>
      <w:r w:rsidRPr="00417513">
        <w:rPr>
          <w:rFonts w:ascii="Arial" w:hAnsi="Arial" w:cs="Arial"/>
        </w:rPr>
        <w:t>d reforecast ac</w:t>
      </w:r>
      <w:r>
        <w:rPr>
          <w:rFonts w:ascii="Arial" w:hAnsi="Arial" w:cs="Arial"/>
        </w:rPr>
        <w:t>tivity for the remainder of the year.</w:t>
      </w:r>
    </w:p>
    <w:p w:rsidR="00715FD3" w:rsidRDefault="00715FD3" w:rsidP="00715FD3">
      <w:pPr>
        <w:pStyle w:val="ListParagraph"/>
        <w:ind w:left="567"/>
        <w:jc w:val="both"/>
        <w:rPr>
          <w:rFonts w:ascii="Arial" w:hAnsi="Arial" w:cs="Arial"/>
        </w:rPr>
      </w:pPr>
    </w:p>
    <w:p w:rsidR="00561AB6" w:rsidRDefault="00715FD3" w:rsidP="00561AB6">
      <w:pPr>
        <w:pStyle w:val="ListParagraph"/>
        <w:numPr>
          <w:ilvl w:val="2"/>
          <w:numId w:val="3"/>
        </w:numPr>
        <w:ind w:left="567" w:hanging="567"/>
        <w:jc w:val="both"/>
        <w:rPr>
          <w:rFonts w:ascii="Arial" w:hAnsi="Arial" w:cs="Arial"/>
        </w:rPr>
      </w:pPr>
      <w:r>
        <w:rPr>
          <w:rFonts w:ascii="Arial" w:hAnsi="Arial" w:cs="Arial"/>
        </w:rPr>
        <w:lastRenderedPageBreak/>
        <w:t xml:space="preserve">The bridge below shows the key drivers between the difference between the </w:t>
      </w:r>
      <w:r w:rsidR="0064059E">
        <w:rPr>
          <w:rFonts w:ascii="Arial" w:hAnsi="Arial" w:cs="Arial"/>
        </w:rPr>
        <w:t xml:space="preserve">original in month </w:t>
      </w:r>
      <w:r>
        <w:rPr>
          <w:rFonts w:ascii="Arial" w:hAnsi="Arial" w:cs="Arial"/>
        </w:rPr>
        <w:t>Trus</w:t>
      </w:r>
      <w:r w:rsidR="00A81544">
        <w:rPr>
          <w:rFonts w:ascii="Arial" w:hAnsi="Arial" w:cs="Arial"/>
        </w:rPr>
        <w:t>t plan</w:t>
      </w:r>
      <w:r w:rsidR="0064059E">
        <w:rPr>
          <w:rFonts w:ascii="Arial" w:hAnsi="Arial" w:cs="Arial"/>
        </w:rPr>
        <w:t xml:space="preserve"> (a deficit of -£610k)</w:t>
      </w:r>
      <w:r w:rsidR="00A81544">
        <w:rPr>
          <w:rFonts w:ascii="Arial" w:hAnsi="Arial" w:cs="Arial"/>
        </w:rPr>
        <w:t xml:space="preserve"> and actual surplus of £36</w:t>
      </w:r>
      <w:r>
        <w:rPr>
          <w:rFonts w:ascii="Arial" w:hAnsi="Arial" w:cs="Arial"/>
        </w:rPr>
        <w:t>k.</w:t>
      </w:r>
    </w:p>
    <w:p w:rsidR="00561AB6" w:rsidRPr="00561AB6" w:rsidRDefault="00561AB6" w:rsidP="00561AB6">
      <w:pPr>
        <w:pStyle w:val="ListParagraph"/>
        <w:ind w:left="567"/>
        <w:jc w:val="both"/>
        <w:rPr>
          <w:rFonts w:ascii="Arial" w:hAnsi="Arial" w:cs="Arial"/>
        </w:rPr>
      </w:pPr>
    </w:p>
    <w:p w:rsidR="001D0BCA" w:rsidRDefault="00A81544" w:rsidP="001D0BCA">
      <w:pPr>
        <w:pStyle w:val="ListParagraph"/>
        <w:numPr>
          <w:ilvl w:val="2"/>
          <w:numId w:val="3"/>
        </w:numPr>
        <w:ind w:left="567" w:hanging="567"/>
        <w:jc w:val="both"/>
        <w:rPr>
          <w:rFonts w:ascii="Arial" w:hAnsi="Arial" w:cs="Arial"/>
        </w:rPr>
      </w:pPr>
      <w:r>
        <w:rPr>
          <w:rFonts w:ascii="Arial" w:hAnsi="Arial" w:cs="Arial"/>
        </w:rPr>
        <w:t xml:space="preserve">The </w:t>
      </w:r>
      <w:r w:rsidR="001846BE">
        <w:rPr>
          <w:rFonts w:ascii="Arial" w:hAnsi="Arial" w:cs="Arial"/>
        </w:rPr>
        <w:t xml:space="preserve">graph below illustrates that </w:t>
      </w:r>
      <w:r w:rsidR="001846BE" w:rsidRPr="001846BE">
        <w:rPr>
          <w:rFonts w:ascii="Arial" w:eastAsiaTheme="minorEastAsia" w:hAnsi="Arial" w:cs="Arial"/>
          <w:noProof/>
          <w:lang w:eastAsia="en-GB"/>
        </w:rPr>
        <w:t>Drug Income</w:t>
      </w:r>
      <w:r w:rsidR="001846BE">
        <w:rPr>
          <w:rFonts w:ascii="Arial" w:eastAsiaTheme="minorEastAsia" w:hAnsi="Arial" w:cs="Arial"/>
          <w:noProof/>
          <w:lang w:eastAsia="en-GB"/>
        </w:rPr>
        <w:t xml:space="preserve"> funded as a block amount,</w:t>
      </w:r>
      <w:r w:rsidR="001846BE" w:rsidRPr="001846BE">
        <w:rPr>
          <w:rFonts w:ascii="Arial" w:eastAsiaTheme="minorEastAsia" w:hAnsi="Arial" w:cs="Arial"/>
          <w:noProof/>
          <w:lang w:eastAsia="en-GB"/>
        </w:rPr>
        <w:t xml:space="preserve"> being above plan (by £1,194k)</w:t>
      </w:r>
      <w:r w:rsidR="001846BE">
        <w:rPr>
          <w:rFonts w:ascii="Arial" w:eastAsiaTheme="minorEastAsia" w:hAnsi="Arial" w:cs="Arial"/>
          <w:noProof/>
          <w:lang w:eastAsia="en-GB"/>
        </w:rPr>
        <w:t>,</w:t>
      </w:r>
      <w:r w:rsidR="001846BE" w:rsidRPr="001846BE">
        <w:rPr>
          <w:rFonts w:ascii="Arial" w:eastAsiaTheme="minorEastAsia" w:hAnsi="Arial" w:cs="Arial"/>
          <w:noProof/>
          <w:lang w:eastAsia="en-GB"/>
        </w:rPr>
        <w:t xml:space="preserve"> is effectively offseting other non-Drug Clinical Income being (-£1,163k) below plan. Underspends on drugs £571k and pay £429k are essentially funding the additional COVID-19 costs in month 2 of £244k and resulting in the Trust delivering close to breakeven without the need for significant additional Top Up income. As a result the Top Up had reduced from an additional £390k in month 1 to only £40k cumulatively at month 2</w:t>
      </w:r>
      <w:r w:rsidR="001846BE">
        <w:rPr>
          <w:rFonts w:ascii="Arial" w:eastAsiaTheme="minorEastAsia" w:hAnsi="Arial" w:cs="Arial"/>
          <w:noProof/>
          <w:lang w:eastAsia="en-GB"/>
        </w:rPr>
        <w:t>.</w:t>
      </w:r>
    </w:p>
    <w:p w:rsidR="002D4472" w:rsidRDefault="002D4472" w:rsidP="002D4472">
      <w:pPr>
        <w:pStyle w:val="ListParagraph"/>
        <w:ind w:left="567"/>
        <w:jc w:val="both"/>
        <w:rPr>
          <w:rFonts w:ascii="Arial" w:hAnsi="Arial" w:cs="Arial"/>
        </w:rPr>
      </w:pPr>
    </w:p>
    <w:p w:rsidR="002D4472" w:rsidRDefault="00A81544" w:rsidP="002D4472">
      <w:pPr>
        <w:pStyle w:val="ListParagraph"/>
        <w:ind w:left="567"/>
        <w:jc w:val="both"/>
        <w:rPr>
          <w:rFonts w:ascii="Arial" w:hAnsi="Arial" w:cs="Arial"/>
        </w:rPr>
      </w:pPr>
      <w:r>
        <w:rPr>
          <w:noProof/>
          <w:lang w:eastAsia="en-GB"/>
        </w:rPr>
        <w:drawing>
          <wp:inline distT="0" distB="0" distL="0" distR="0" wp14:anchorId="68E88759" wp14:editId="1B77E733">
            <wp:extent cx="5731510" cy="3144982"/>
            <wp:effectExtent l="0" t="0" r="254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3"/>
                    <a:stretch>
                      <a:fillRect/>
                    </a:stretch>
                  </pic:blipFill>
                  <pic:spPr>
                    <a:xfrm>
                      <a:off x="0" y="0"/>
                      <a:ext cx="5731510" cy="3144982"/>
                    </a:xfrm>
                    <a:prstGeom prst="rect">
                      <a:avLst/>
                    </a:prstGeom>
                  </pic:spPr>
                </pic:pic>
              </a:graphicData>
            </a:graphic>
          </wp:inline>
        </w:drawing>
      </w:r>
    </w:p>
    <w:p w:rsidR="002D4472" w:rsidRDefault="002D4472" w:rsidP="002D4472">
      <w:pPr>
        <w:pStyle w:val="ListParagraph"/>
        <w:ind w:left="567"/>
        <w:jc w:val="both"/>
        <w:rPr>
          <w:rFonts w:ascii="Arial" w:hAnsi="Arial" w:cs="Arial"/>
        </w:rPr>
      </w:pPr>
    </w:p>
    <w:p w:rsidR="003951CF" w:rsidRDefault="003951CF" w:rsidP="003951CF">
      <w:pPr>
        <w:pStyle w:val="ListParagraph"/>
        <w:numPr>
          <w:ilvl w:val="2"/>
          <w:numId w:val="29"/>
        </w:numPr>
        <w:ind w:left="567" w:hanging="567"/>
        <w:jc w:val="both"/>
        <w:rPr>
          <w:rFonts w:ascii="Arial" w:hAnsi="Arial" w:cs="Arial"/>
        </w:rPr>
      </w:pPr>
      <w:r>
        <w:rPr>
          <w:rFonts w:ascii="Arial" w:hAnsi="Arial" w:cs="Arial"/>
        </w:rPr>
        <w:t>The additional direct costs of £244k incurred by the Trust relating to COVID-19 in May includes additional bank and agency cover (£3k, which was predom</w:t>
      </w:r>
      <w:r w:rsidR="001C0073">
        <w:rPr>
          <w:rFonts w:ascii="Arial" w:hAnsi="Arial" w:cs="Arial"/>
        </w:rPr>
        <w:t xml:space="preserve">inately nursing and HCAs), </w:t>
      </w:r>
      <w:r>
        <w:rPr>
          <w:rFonts w:ascii="Arial" w:hAnsi="Arial" w:cs="Arial"/>
        </w:rPr>
        <w:t>substantive pay costs</w:t>
      </w:r>
      <w:r w:rsidR="001C0073">
        <w:rPr>
          <w:rFonts w:ascii="Arial" w:hAnsi="Arial" w:cs="Arial"/>
        </w:rPr>
        <w:t xml:space="preserve"> (£50k)</w:t>
      </w:r>
      <w:r>
        <w:rPr>
          <w:rFonts w:ascii="Arial" w:hAnsi="Arial" w:cs="Arial"/>
        </w:rPr>
        <w:t>, additional Personal Protective Equipment (£17k), additional medical equipment (£41k), laptops to facilitate mobile working (£61k), other IM&amp;T for patient systems (£59k) and lost parking income (£14k).</w:t>
      </w:r>
    </w:p>
    <w:p w:rsidR="001D0BCA" w:rsidRPr="001D0BCA" w:rsidRDefault="001D0BCA" w:rsidP="001D0BCA">
      <w:pPr>
        <w:pStyle w:val="ListParagraph"/>
        <w:ind w:left="567"/>
        <w:jc w:val="both"/>
        <w:rPr>
          <w:rFonts w:ascii="Arial" w:hAnsi="Arial" w:cs="Arial"/>
        </w:rPr>
      </w:pPr>
    </w:p>
    <w:p w:rsidR="00D457A8" w:rsidRPr="00682341" w:rsidRDefault="00D457A8" w:rsidP="00D457A8">
      <w:pPr>
        <w:pStyle w:val="ListParagraph"/>
        <w:numPr>
          <w:ilvl w:val="1"/>
          <w:numId w:val="3"/>
        </w:numPr>
        <w:jc w:val="both"/>
        <w:rPr>
          <w:rFonts w:ascii="Arial" w:hAnsi="Arial" w:cs="Arial"/>
          <w:b/>
        </w:rPr>
      </w:pPr>
      <w:r w:rsidRPr="00682341">
        <w:rPr>
          <w:rFonts w:ascii="Arial" w:hAnsi="Arial" w:cs="Arial"/>
          <w:b/>
        </w:rPr>
        <w:t>Cost Improvement Programme (CIP)</w:t>
      </w:r>
    </w:p>
    <w:p w:rsidR="00D457A8" w:rsidRPr="00682341" w:rsidRDefault="00D457A8" w:rsidP="00D457A8">
      <w:pPr>
        <w:pStyle w:val="ListParagraph"/>
        <w:ind w:left="567"/>
        <w:jc w:val="both"/>
        <w:rPr>
          <w:rFonts w:ascii="Arial" w:hAnsi="Arial" w:cs="Arial"/>
          <w:b/>
        </w:rPr>
      </w:pPr>
    </w:p>
    <w:p w:rsidR="00B402E7" w:rsidRPr="00682341" w:rsidRDefault="00B402E7" w:rsidP="00D457A8">
      <w:pPr>
        <w:pStyle w:val="ListParagraph"/>
        <w:numPr>
          <w:ilvl w:val="2"/>
          <w:numId w:val="3"/>
        </w:numPr>
        <w:ind w:left="567" w:hanging="567"/>
        <w:jc w:val="both"/>
        <w:rPr>
          <w:rFonts w:ascii="Arial" w:hAnsi="Arial" w:cs="Arial"/>
        </w:rPr>
      </w:pPr>
      <w:r w:rsidRPr="00682341">
        <w:rPr>
          <w:rFonts w:ascii="Arial" w:hAnsi="Arial" w:cs="Arial"/>
        </w:rPr>
        <w:t xml:space="preserve">For the original plan for 2020-21, the Trust had a CIP target of £1.8m. Of that £0.59m had been identified, with the remaining £1.21m to be </w:t>
      </w:r>
      <w:r w:rsidR="00A57755">
        <w:rPr>
          <w:rFonts w:ascii="Arial" w:hAnsi="Arial" w:cs="Arial"/>
        </w:rPr>
        <w:t>addressed</w:t>
      </w:r>
      <w:r w:rsidRPr="00682341">
        <w:rPr>
          <w:rFonts w:ascii="Arial" w:hAnsi="Arial" w:cs="Arial"/>
        </w:rPr>
        <w:t>. Recognising the timing and impact of the relocation of some services to the new Cancer Centre in Liverpool, the unidentified element was back loaded towards the second half of the year.</w:t>
      </w:r>
    </w:p>
    <w:p w:rsidR="00D457A8" w:rsidRPr="00682341" w:rsidRDefault="00D457A8" w:rsidP="00D457A8">
      <w:pPr>
        <w:pStyle w:val="ListParagraph"/>
        <w:ind w:left="363"/>
        <w:jc w:val="both"/>
        <w:rPr>
          <w:rFonts w:ascii="Arial" w:hAnsi="Arial" w:cs="Arial"/>
        </w:rPr>
      </w:pPr>
    </w:p>
    <w:p w:rsidR="00B402E7" w:rsidRPr="00682341" w:rsidRDefault="00B402E7" w:rsidP="00D457A8">
      <w:pPr>
        <w:pStyle w:val="ListParagraph"/>
        <w:numPr>
          <w:ilvl w:val="2"/>
          <w:numId w:val="3"/>
        </w:numPr>
        <w:ind w:left="567" w:hanging="567"/>
        <w:jc w:val="both"/>
        <w:rPr>
          <w:rFonts w:ascii="Arial" w:hAnsi="Arial" w:cs="Arial"/>
        </w:rPr>
      </w:pPr>
      <w:r w:rsidRPr="00682341">
        <w:rPr>
          <w:rFonts w:ascii="Arial" w:hAnsi="Arial" w:cs="Arial"/>
        </w:rPr>
        <w:t xml:space="preserve">CIP is required primarily to fund the annual shortfall between pay and non-pay inflationary costs and national tariff inflationary uplift. However, the interim financial arrangements, whereby Trusts are funded to breakeven, has effectively suspended the </w:t>
      </w:r>
      <w:r w:rsidRPr="00682341">
        <w:rPr>
          <w:rFonts w:ascii="Arial" w:hAnsi="Arial" w:cs="Arial"/>
        </w:rPr>
        <w:lastRenderedPageBreak/>
        <w:t>need for CIP delivery in the short term (the first 4 months of 2020-21) at least.</w:t>
      </w:r>
      <w:r w:rsidR="00A57755">
        <w:rPr>
          <w:rFonts w:ascii="Arial" w:hAnsi="Arial" w:cs="Arial"/>
        </w:rPr>
        <w:t xml:space="preserve"> This position is consistent with NHSI guidance.</w:t>
      </w:r>
    </w:p>
    <w:p w:rsidR="00D457A8" w:rsidRPr="00682341" w:rsidRDefault="00D457A8" w:rsidP="00D457A8">
      <w:pPr>
        <w:pStyle w:val="ListParagraph"/>
        <w:rPr>
          <w:rFonts w:ascii="Arial" w:hAnsi="Arial" w:cs="Arial"/>
        </w:rPr>
      </w:pPr>
    </w:p>
    <w:p w:rsidR="00B402E7" w:rsidRPr="00682341" w:rsidRDefault="00B402E7" w:rsidP="00D457A8">
      <w:pPr>
        <w:pStyle w:val="ListParagraph"/>
        <w:numPr>
          <w:ilvl w:val="2"/>
          <w:numId w:val="3"/>
        </w:numPr>
        <w:ind w:left="567" w:hanging="567"/>
        <w:jc w:val="both"/>
        <w:rPr>
          <w:rFonts w:ascii="Arial" w:hAnsi="Arial" w:cs="Arial"/>
        </w:rPr>
      </w:pPr>
      <w:r w:rsidRPr="00682341">
        <w:rPr>
          <w:rFonts w:ascii="Arial" w:hAnsi="Arial" w:cs="Arial"/>
        </w:rPr>
        <w:t xml:space="preserve">As a result the Trust is currently reviewing the CIP target for 2020-21 and risk assessing all of the identified schemes to determine whether they are still deliverable in 2020-21. For example, any </w:t>
      </w:r>
      <w:r w:rsidR="00A57755">
        <w:rPr>
          <w:rFonts w:ascii="Arial" w:hAnsi="Arial" w:cs="Arial"/>
        </w:rPr>
        <w:t xml:space="preserve">NHS commissioned </w:t>
      </w:r>
      <w:r w:rsidRPr="00682341">
        <w:rPr>
          <w:rFonts w:ascii="Arial" w:hAnsi="Arial" w:cs="Arial"/>
        </w:rPr>
        <w:t>activity related CIPs will not be deliverable under the current regime. However, schemes based on reducing co</w:t>
      </w:r>
      <w:r w:rsidR="00A57755">
        <w:rPr>
          <w:rFonts w:ascii="Arial" w:hAnsi="Arial" w:cs="Arial"/>
        </w:rPr>
        <w:t>sts should still be deliverable and will be pursued.</w:t>
      </w:r>
    </w:p>
    <w:p w:rsidR="000B4A6C" w:rsidRPr="00682341" w:rsidRDefault="000B4A6C" w:rsidP="00607084">
      <w:pPr>
        <w:pStyle w:val="ListParagraph"/>
        <w:ind w:left="567"/>
        <w:jc w:val="both"/>
        <w:rPr>
          <w:rFonts w:ascii="Arial" w:hAnsi="Arial" w:cs="Arial"/>
        </w:rPr>
      </w:pPr>
    </w:p>
    <w:p w:rsidR="00C95E18" w:rsidRPr="00682341" w:rsidRDefault="001B1CC0" w:rsidP="00584A18">
      <w:pPr>
        <w:pStyle w:val="ListParagraph"/>
        <w:numPr>
          <w:ilvl w:val="0"/>
          <w:numId w:val="3"/>
        </w:numPr>
        <w:ind w:left="567" w:hanging="567"/>
        <w:rPr>
          <w:rFonts w:ascii="Arial" w:hAnsi="Arial" w:cs="Arial"/>
          <w:b/>
        </w:rPr>
      </w:pPr>
      <w:r w:rsidRPr="00682341">
        <w:rPr>
          <w:rFonts w:ascii="Arial" w:hAnsi="Arial" w:cs="Arial"/>
          <w:b/>
        </w:rPr>
        <w:t>C</w:t>
      </w:r>
      <w:r w:rsidR="00C95E18" w:rsidRPr="00682341">
        <w:rPr>
          <w:rFonts w:ascii="Arial" w:hAnsi="Arial" w:cs="Arial"/>
          <w:b/>
        </w:rPr>
        <w:t>ash and Capital</w:t>
      </w:r>
    </w:p>
    <w:p w:rsidR="00993022" w:rsidRPr="00DD05EE" w:rsidRDefault="00993022" w:rsidP="00993022">
      <w:pPr>
        <w:pStyle w:val="ListParagraph"/>
        <w:ind w:left="567"/>
        <w:jc w:val="both"/>
        <w:rPr>
          <w:rFonts w:ascii="Arial" w:hAnsi="Arial" w:cs="Arial"/>
        </w:rPr>
      </w:pPr>
    </w:p>
    <w:p w:rsidR="00465C76" w:rsidRDefault="00B31AE3" w:rsidP="00793D7F">
      <w:pPr>
        <w:pStyle w:val="ListParagraph"/>
        <w:numPr>
          <w:ilvl w:val="1"/>
          <w:numId w:val="3"/>
        </w:numPr>
        <w:jc w:val="both"/>
        <w:rPr>
          <w:rFonts w:ascii="Arial" w:hAnsi="Arial" w:cs="Arial"/>
        </w:rPr>
      </w:pPr>
      <w:r>
        <w:rPr>
          <w:rFonts w:ascii="Arial" w:hAnsi="Arial" w:cs="Arial"/>
        </w:rPr>
        <w:t>As noted at the last Board meeting, t</w:t>
      </w:r>
      <w:r w:rsidR="00DD05EE" w:rsidRPr="00DD05EE">
        <w:rPr>
          <w:rFonts w:ascii="Arial" w:hAnsi="Arial" w:cs="Arial"/>
        </w:rPr>
        <w:t>he original</w:t>
      </w:r>
      <w:r w:rsidR="00A57755">
        <w:rPr>
          <w:rFonts w:ascii="Arial" w:hAnsi="Arial" w:cs="Arial"/>
        </w:rPr>
        <w:t xml:space="preserve"> capital programme of </w:t>
      </w:r>
      <w:r w:rsidR="00DD62C8">
        <w:rPr>
          <w:rFonts w:ascii="Arial" w:hAnsi="Arial" w:cs="Arial"/>
        </w:rPr>
        <w:t>planned o</w:t>
      </w:r>
      <w:r>
        <w:rPr>
          <w:rFonts w:ascii="Arial" w:hAnsi="Arial" w:cs="Arial"/>
        </w:rPr>
        <w:t>f</w:t>
      </w:r>
      <w:r w:rsidR="00DD62C8">
        <w:rPr>
          <w:rFonts w:ascii="Arial" w:hAnsi="Arial" w:cs="Arial"/>
        </w:rPr>
        <w:t xml:space="preserve"> </w:t>
      </w:r>
      <w:r w:rsidR="00DD05EE" w:rsidRPr="00DD05EE">
        <w:rPr>
          <w:rFonts w:ascii="Arial" w:hAnsi="Arial" w:cs="Arial"/>
        </w:rPr>
        <w:t>£11.1m for 2020-21 has been reviewed and revised in light of 2019-20 actual outturn</w:t>
      </w:r>
      <w:r w:rsidR="00A57755">
        <w:rPr>
          <w:rFonts w:ascii="Arial" w:hAnsi="Arial" w:cs="Arial"/>
        </w:rPr>
        <w:t>. T</w:t>
      </w:r>
      <w:r w:rsidR="00DD05EE" w:rsidRPr="00DD05EE">
        <w:rPr>
          <w:rFonts w:ascii="Arial" w:hAnsi="Arial" w:cs="Arial"/>
        </w:rPr>
        <w:t>he Trust receiv</w:t>
      </w:r>
      <w:r w:rsidR="00A57755">
        <w:rPr>
          <w:rFonts w:ascii="Arial" w:hAnsi="Arial" w:cs="Arial"/>
        </w:rPr>
        <w:t>ed</w:t>
      </w:r>
      <w:r w:rsidR="00DD05EE" w:rsidRPr="00DD05EE">
        <w:rPr>
          <w:rFonts w:ascii="Arial" w:hAnsi="Arial" w:cs="Arial"/>
        </w:rPr>
        <w:t xml:space="preserve"> </w:t>
      </w:r>
      <w:r w:rsidR="00A57755">
        <w:rPr>
          <w:rFonts w:ascii="Arial" w:hAnsi="Arial" w:cs="Arial"/>
        </w:rPr>
        <w:t xml:space="preserve">additional </w:t>
      </w:r>
      <w:r w:rsidR="00DD05EE" w:rsidRPr="00DD05EE">
        <w:rPr>
          <w:rFonts w:ascii="Arial" w:hAnsi="Arial" w:cs="Arial"/>
        </w:rPr>
        <w:t>DH</w:t>
      </w:r>
      <w:r w:rsidR="00A57755">
        <w:rPr>
          <w:rFonts w:ascii="Arial" w:hAnsi="Arial" w:cs="Arial"/>
        </w:rPr>
        <w:t xml:space="preserve"> funding to accelerate</w:t>
      </w:r>
      <w:r w:rsidR="00DD05EE" w:rsidRPr="00DD05EE">
        <w:rPr>
          <w:rFonts w:ascii="Arial" w:hAnsi="Arial" w:cs="Arial"/>
        </w:rPr>
        <w:t xml:space="preserve"> the openi</w:t>
      </w:r>
      <w:r w:rsidR="00A57755">
        <w:rPr>
          <w:rFonts w:ascii="Arial" w:hAnsi="Arial" w:cs="Arial"/>
        </w:rPr>
        <w:t>ng of the new Cancer Centre and</w:t>
      </w:r>
      <w:r w:rsidR="00DD05EE" w:rsidRPr="00DD05EE">
        <w:rPr>
          <w:rFonts w:ascii="Arial" w:hAnsi="Arial" w:cs="Arial"/>
        </w:rPr>
        <w:t xml:space="preserve"> successful</w:t>
      </w:r>
      <w:r w:rsidR="00A57755">
        <w:rPr>
          <w:rFonts w:ascii="Arial" w:hAnsi="Arial" w:cs="Arial"/>
        </w:rPr>
        <w:t>ly applied</w:t>
      </w:r>
      <w:r w:rsidR="00DD05EE" w:rsidRPr="00DD05EE">
        <w:rPr>
          <w:rFonts w:ascii="Arial" w:hAnsi="Arial" w:cs="Arial"/>
        </w:rPr>
        <w:t xml:space="preserve"> for national Digital Aspirant funding. The revised capital</w:t>
      </w:r>
      <w:r>
        <w:rPr>
          <w:rFonts w:ascii="Arial" w:hAnsi="Arial" w:cs="Arial"/>
        </w:rPr>
        <w:t xml:space="preserve"> plan</w:t>
      </w:r>
      <w:r w:rsidR="00DD05EE" w:rsidRPr="00DD05EE">
        <w:rPr>
          <w:rFonts w:ascii="Arial" w:hAnsi="Arial" w:cs="Arial"/>
        </w:rPr>
        <w:t xml:space="preserve"> is now £12.8m.</w:t>
      </w:r>
      <w:r w:rsidR="004442C0" w:rsidRPr="00DD05EE">
        <w:rPr>
          <w:rFonts w:ascii="Arial" w:hAnsi="Arial" w:cs="Arial"/>
        </w:rPr>
        <w:t xml:space="preserve"> </w:t>
      </w:r>
    </w:p>
    <w:p w:rsidR="00DD05EE" w:rsidRDefault="00DD05EE" w:rsidP="00DD05EE">
      <w:pPr>
        <w:pStyle w:val="ListParagraph"/>
        <w:ind w:left="567"/>
        <w:jc w:val="both"/>
        <w:rPr>
          <w:rFonts w:ascii="Arial" w:hAnsi="Arial" w:cs="Arial"/>
        </w:rPr>
      </w:pPr>
    </w:p>
    <w:p w:rsidR="00C42D15" w:rsidRDefault="00C42D15" w:rsidP="00C42D15">
      <w:pPr>
        <w:pStyle w:val="ListParagraph"/>
        <w:numPr>
          <w:ilvl w:val="1"/>
          <w:numId w:val="3"/>
        </w:numPr>
        <w:jc w:val="both"/>
        <w:rPr>
          <w:rFonts w:ascii="Arial" w:hAnsi="Arial" w:cs="Arial"/>
        </w:rPr>
      </w:pPr>
      <w:r w:rsidRPr="00893E8C">
        <w:rPr>
          <w:rFonts w:ascii="Arial" w:hAnsi="Arial" w:cs="Arial"/>
        </w:rPr>
        <w:t>Capital expenditure of £</w:t>
      </w:r>
      <w:r w:rsidR="003D7C2D">
        <w:rPr>
          <w:rFonts w:ascii="Arial" w:hAnsi="Arial" w:cs="Arial"/>
        </w:rPr>
        <w:t>4</w:t>
      </w:r>
      <w:r w:rsidRPr="00893E8C">
        <w:rPr>
          <w:rFonts w:ascii="Arial" w:hAnsi="Arial" w:cs="Arial"/>
        </w:rPr>
        <w:t>.</w:t>
      </w:r>
      <w:r w:rsidR="003D7C2D">
        <w:rPr>
          <w:rFonts w:ascii="Arial" w:hAnsi="Arial" w:cs="Arial"/>
        </w:rPr>
        <w:t>1</w:t>
      </w:r>
      <w:r w:rsidRPr="00893E8C">
        <w:rPr>
          <w:rFonts w:ascii="Arial" w:hAnsi="Arial" w:cs="Arial"/>
        </w:rPr>
        <w:t xml:space="preserve">m has been </w:t>
      </w:r>
      <w:r w:rsidR="00B31AE3">
        <w:rPr>
          <w:rFonts w:ascii="Arial" w:hAnsi="Arial" w:cs="Arial"/>
        </w:rPr>
        <w:t>incurred to the end of May</w:t>
      </w:r>
      <w:r w:rsidRPr="00893E8C">
        <w:rPr>
          <w:rFonts w:ascii="Arial" w:hAnsi="Arial" w:cs="Arial"/>
        </w:rPr>
        <w:t xml:space="preserve"> against </w:t>
      </w:r>
      <w:r w:rsidR="00F70CF6">
        <w:rPr>
          <w:rFonts w:ascii="Arial" w:hAnsi="Arial" w:cs="Arial"/>
        </w:rPr>
        <w:t xml:space="preserve">the </w:t>
      </w:r>
      <w:r w:rsidRPr="00893E8C">
        <w:rPr>
          <w:rFonts w:ascii="Arial" w:hAnsi="Arial" w:cs="Arial"/>
        </w:rPr>
        <w:t xml:space="preserve">year to date plan of </w:t>
      </w:r>
      <w:r w:rsidR="00B31AE3">
        <w:rPr>
          <w:rFonts w:ascii="Arial" w:hAnsi="Arial" w:cs="Arial"/>
        </w:rPr>
        <w:t>£2</w:t>
      </w:r>
      <w:r>
        <w:rPr>
          <w:rFonts w:ascii="Arial" w:hAnsi="Arial" w:cs="Arial"/>
        </w:rPr>
        <w:t>.0</w:t>
      </w:r>
      <w:r w:rsidRPr="00893E8C">
        <w:rPr>
          <w:rFonts w:ascii="Arial" w:hAnsi="Arial" w:cs="Arial"/>
        </w:rPr>
        <w:t xml:space="preserve">m. </w:t>
      </w:r>
      <w:r w:rsidR="00B31AE3">
        <w:rPr>
          <w:rFonts w:ascii="Arial" w:hAnsi="Arial" w:cs="Arial"/>
        </w:rPr>
        <w:t>The main reason for the variance is equipment purchased in month 2 that was originally planned for month 3. The variance does not indicate an over commitment of the capital programme.</w:t>
      </w:r>
    </w:p>
    <w:p w:rsidR="00C42D15" w:rsidRPr="00793D7F" w:rsidRDefault="00C42D15" w:rsidP="00C42D15">
      <w:pPr>
        <w:pStyle w:val="ListParagraph"/>
        <w:rPr>
          <w:rFonts w:ascii="Arial" w:hAnsi="Arial" w:cs="Arial"/>
        </w:rPr>
      </w:pPr>
    </w:p>
    <w:p w:rsidR="00C0527B" w:rsidRPr="00DD62C8" w:rsidRDefault="00C42D15" w:rsidP="00DD62C8">
      <w:pPr>
        <w:pStyle w:val="ListParagraph"/>
        <w:numPr>
          <w:ilvl w:val="1"/>
          <w:numId w:val="3"/>
        </w:numPr>
        <w:jc w:val="both"/>
        <w:rPr>
          <w:rFonts w:ascii="Arial" w:hAnsi="Arial" w:cs="Arial"/>
        </w:rPr>
      </w:pPr>
      <w:r w:rsidRPr="00744F25">
        <w:rPr>
          <w:rFonts w:ascii="Arial" w:hAnsi="Arial" w:cs="Arial"/>
        </w:rPr>
        <w:t xml:space="preserve">The capital programme is supported by the organisation’s cash position.  The Trust has </w:t>
      </w:r>
      <w:r w:rsidR="003D7C2D">
        <w:rPr>
          <w:rFonts w:ascii="Arial" w:hAnsi="Arial" w:cs="Arial"/>
        </w:rPr>
        <w:t>a current cash position of £51.4m</w:t>
      </w:r>
      <w:r w:rsidRPr="00744F25">
        <w:rPr>
          <w:rFonts w:ascii="Arial" w:hAnsi="Arial" w:cs="Arial"/>
        </w:rPr>
        <w:t>, which is a positive variance of £</w:t>
      </w:r>
      <w:r w:rsidR="003D7C2D">
        <w:rPr>
          <w:rFonts w:ascii="Arial" w:hAnsi="Arial" w:cs="Arial"/>
        </w:rPr>
        <w:t>22.0m to the cashflow plan of £29</w:t>
      </w:r>
      <w:r w:rsidRPr="00744F25">
        <w:rPr>
          <w:rFonts w:ascii="Arial" w:hAnsi="Arial" w:cs="Arial"/>
        </w:rPr>
        <w:t>.</w:t>
      </w:r>
      <w:r w:rsidR="003D7C2D">
        <w:rPr>
          <w:rFonts w:ascii="Arial" w:hAnsi="Arial" w:cs="Arial"/>
        </w:rPr>
        <w:t>4</w:t>
      </w:r>
      <w:r w:rsidRPr="00744F25">
        <w:rPr>
          <w:rFonts w:ascii="Arial" w:hAnsi="Arial" w:cs="Arial"/>
        </w:rPr>
        <w:t xml:space="preserve">m. </w:t>
      </w:r>
      <w:r w:rsidR="00C0527B" w:rsidRPr="00DA3686">
        <w:rPr>
          <w:rFonts w:ascii="Arial" w:hAnsi="Arial" w:cs="Arial"/>
        </w:rPr>
        <w:t>Trust cash is higher than planned due to combination of factors</w:t>
      </w:r>
      <w:r w:rsidR="00DA3686" w:rsidRPr="00DA3686">
        <w:rPr>
          <w:rFonts w:ascii="Arial" w:hAnsi="Arial" w:cs="Arial"/>
        </w:rPr>
        <w:t>, two significant ones being that</w:t>
      </w:r>
      <w:r w:rsidR="00C0527B" w:rsidRPr="00DA3686">
        <w:rPr>
          <w:rFonts w:ascii="Arial" w:hAnsi="Arial" w:cs="Arial"/>
        </w:rPr>
        <w:t xml:space="preserve"> Trust drew down £4.6m of PDC in April, and major commissioners made payments on account for month 3 in May.</w:t>
      </w:r>
      <w:r w:rsidR="00DD62C8">
        <w:rPr>
          <w:rFonts w:ascii="Arial" w:hAnsi="Arial" w:cs="Arial"/>
        </w:rPr>
        <w:t xml:space="preserve"> </w:t>
      </w:r>
      <w:r w:rsidRPr="00DD62C8">
        <w:rPr>
          <w:rFonts w:ascii="Arial" w:hAnsi="Arial" w:cs="Arial"/>
        </w:rPr>
        <w:t>In addition to</w:t>
      </w:r>
      <w:r w:rsidR="00B31AE3" w:rsidRPr="00DD62C8">
        <w:rPr>
          <w:rFonts w:ascii="Arial" w:hAnsi="Arial" w:cs="Arial"/>
        </w:rPr>
        <w:t xml:space="preserve"> the Trust cash holding of £51.4</w:t>
      </w:r>
      <w:r w:rsidRPr="00DD62C8">
        <w:rPr>
          <w:rFonts w:ascii="Arial" w:hAnsi="Arial" w:cs="Arial"/>
        </w:rPr>
        <w:t>m, the subsidiaries were holding £</w:t>
      </w:r>
      <w:r w:rsidR="003D7C2D" w:rsidRPr="00DD62C8">
        <w:rPr>
          <w:rFonts w:ascii="Arial" w:hAnsi="Arial" w:cs="Arial"/>
        </w:rPr>
        <w:t>3</w:t>
      </w:r>
      <w:r w:rsidR="00681F9D" w:rsidRPr="00DD62C8">
        <w:rPr>
          <w:rFonts w:ascii="Arial" w:hAnsi="Arial" w:cs="Arial"/>
        </w:rPr>
        <w:t>.9</w:t>
      </w:r>
      <w:r w:rsidRPr="00DD62C8">
        <w:rPr>
          <w:rFonts w:ascii="Arial" w:hAnsi="Arial" w:cs="Arial"/>
        </w:rPr>
        <w:t>m and the Charity £9.</w:t>
      </w:r>
      <w:r w:rsidR="003D7C2D" w:rsidRPr="00DD62C8">
        <w:rPr>
          <w:rFonts w:ascii="Arial" w:hAnsi="Arial" w:cs="Arial"/>
        </w:rPr>
        <w:t>6m at the end of May</w:t>
      </w:r>
      <w:r w:rsidRPr="00DD62C8">
        <w:rPr>
          <w:rFonts w:ascii="Arial" w:hAnsi="Arial" w:cs="Arial"/>
        </w:rPr>
        <w:t>. Total Group Cash was therefore £</w:t>
      </w:r>
      <w:r w:rsidR="003D7C2D" w:rsidRPr="00DD62C8">
        <w:rPr>
          <w:rFonts w:ascii="Arial" w:hAnsi="Arial" w:cs="Arial"/>
        </w:rPr>
        <w:t>64</w:t>
      </w:r>
      <w:r w:rsidRPr="00DD62C8">
        <w:rPr>
          <w:rFonts w:ascii="Arial" w:hAnsi="Arial" w:cs="Arial"/>
        </w:rPr>
        <w:t>.</w:t>
      </w:r>
      <w:r w:rsidR="003D7C2D" w:rsidRPr="00DD62C8">
        <w:rPr>
          <w:rFonts w:ascii="Arial" w:hAnsi="Arial" w:cs="Arial"/>
        </w:rPr>
        <w:t>9</w:t>
      </w:r>
      <w:r w:rsidRPr="00DD62C8">
        <w:rPr>
          <w:rFonts w:ascii="Arial" w:hAnsi="Arial" w:cs="Arial"/>
        </w:rPr>
        <w:t>m.</w:t>
      </w:r>
    </w:p>
    <w:p w:rsidR="00C0527B" w:rsidRPr="00C0527B" w:rsidRDefault="00C0527B" w:rsidP="00C0527B">
      <w:pPr>
        <w:pStyle w:val="ListParagraph"/>
        <w:ind w:left="567"/>
        <w:jc w:val="both"/>
        <w:rPr>
          <w:rFonts w:ascii="Arial" w:hAnsi="Arial" w:cs="Arial"/>
        </w:rPr>
      </w:pPr>
    </w:p>
    <w:p w:rsidR="00DD62C8" w:rsidRDefault="00CB5EB3" w:rsidP="00DD62C8">
      <w:pPr>
        <w:pStyle w:val="ListParagraph"/>
        <w:numPr>
          <w:ilvl w:val="1"/>
          <w:numId w:val="3"/>
        </w:numPr>
        <w:jc w:val="both"/>
        <w:rPr>
          <w:rFonts w:ascii="Arial" w:hAnsi="Arial" w:cs="Arial"/>
        </w:rPr>
      </w:pPr>
      <w:r w:rsidRPr="00DD62C8">
        <w:rPr>
          <w:rFonts w:ascii="Arial" w:hAnsi="Arial" w:cs="Arial"/>
        </w:rPr>
        <w:t>The Balance Sheet (Statement of Financial Position) is included in Appendix B and  Cashflow in Appendix C.</w:t>
      </w:r>
    </w:p>
    <w:p w:rsidR="00DD62C8" w:rsidRPr="00DD62C8" w:rsidRDefault="00DD62C8" w:rsidP="00DD62C8">
      <w:pPr>
        <w:pStyle w:val="ListParagraph"/>
        <w:ind w:left="567"/>
        <w:jc w:val="both"/>
        <w:rPr>
          <w:rFonts w:ascii="Arial" w:hAnsi="Arial" w:cs="Arial"/>
        </w:rPr>
      </w:pPr>
      <w:r w:rsidRPr="00857E95">
        <w:rPr>
          <w:rFonts w:ascii="Arial" w:hAnsi="Arial" w:cs="Arial"/>
          <w:noProof/>
          <w:lang w:eastAsia="en-GB"/>
        </w:rPr>
        <mc:AlternateContent>
          <mc:Choice Requires="wps">
            <w:drawing>
              <wp:anchor distT="0" distB="0" distL="114300" distR="114300" simplePos="0" relativeHeight="251659264" behindDoc="0" locked="0" layoutInCell="1" allowOverlap="1" wp14:anchorId="04FBD905" wp14:editId="4CC138DB">
                <wp:simplePos x="0" y="0"/>
                <wp:positionH relativeFrom="column">
                  <wp:posOffset>4683760</wp:posOffset>
                </wp:positionH>
                <wp:positionV relativeFrom="paragraph">
                  <wp:posOffset>177800</wp:posOffset>
                </wp:positionV>
                <wp:extent cx="1161415" cy="2613660"/>
                <wp:effectExtent l="0" t="0" r="19685" b="15240"/>
                <wp:wrapNone/>
                <wp:docPr id="31" name="Text Box 31"/>
                <wp:cNvGraphicFramePr/>
                <a:graphic xmlns:a="http://schemas.openxmlformats.org/drawingml/2006/main">
                  <a:graphicData uri="http://schemas.microsoft.com/office/word/2010/wordprocessingShape">
                    <wps:wsp>
                      <wps:cNvSpPr txBox="1"/>
                      <wps:spPr>
                        <a:xfrm>
                          <a:off x="0" y="0"/>
                          <a:ext cx="1161415" cy="2613660"/>
                        </a:xfrm>
                        <a:prstGeom prst="rect">
                          <a:avLst/>
                        </a:prstGeom>
                        <a:solidFill>
                          <a:sysClr val="window" lastClr="FFFFFF"/>
                        </a:solidFill>
                        <a:ln w="6350">
                          <a:solidFill>
                            <a:prstClr val="black"/>
                          </a:solidFill>
                        </a:ln>
                      </wps:spPr>
                      <wps:txbx>
                        <w:txbxContent>
                          <w:p w:rsidR="00857E95" w:rsidRPr="00435313" w:rsidRDefault="00857E95" w:rsidP="00857E95">
                            <w:pPr>
                              <w:rPr>
                                <w:rFonts w:ascii="Arial" w:hAnsi="Arial" w:cs="Arial"/>
                                <w:sz w:val="20"/>
                                <w:szCs w:val="20"/>
                                <w:lang w:val="en-US"/>
                              </w:rPr>
                            </w:pPr>
                            <w:r w:rsidRPr="00435313">
                              <w:rPr>
                                <w:rFonts w:ascii="Arial" w:hAnsi="Arial" w:cs="Arial"/>
                                <w:sz w:val="20"/>
                                <w:szCs w:val="20"/>
                                <w:lang w:val="en-US"/>
                              </w:rPr>
                              <w:t xml:space="preserve">This chart shows monthly planned and actual </w:t>
                            </w:r>
                            <w:r>
                              <w:rPr>
                                <w:rFonts w:ascii="Arial" w:hAnsi="Arial" w:cs="Arial"/>
                                <w:sz w:val="20"/>
                                <w:szCs w:val="20"/>
                                <w:lang w:val="en-US"/>
                              </w:rPr>
                              <w:t>Cash Balances and Planned Capital Expenditure for 2020-21</w:t>
                            </w:r>
                            <w:r w:rsidRPr="00435313">
                              <w:rPr>
                                <w:rFonts w:ascii="Arial" w:hAnsi="Arial" w:cs="Arial"/>
                                <w:sz w:val="20"/>
                                <w:szCs w:val="20"/>
                                <w:lang w:val="en-US"/>
                              </w:rPr>
                              <w:t>.</w:t>
                            </w:r>
                          </w:p>
                          <w:p w:rsidR="00857E95" w:rsidRPr="00435313" w:rsidRDefault="00857E95" w:rsidP="00857E95">
                            <w:pPr>
                              <w:rPr>
                                <w:rFonts w:ascii="Arial" w:hAnsi="Arial" w:cs="Arial"/>
                                <w:sz w:val="20"/>
                                <w:szCs w:val="20"/>
                                <w:lang w:val="en-US"/>
                              </w:rPr>
                            </w:pPr>
                            <w:r w:rsidRPr="00435313">
                              <w:rPr>
                                <w:rFonts w:ascii="Arial" w:hAnsi="Arial" w:cs="Arial"/>
                                <w:sz w:val="20"/>
                                <w:szCs w:val="20"/>
                                <w:lang w:val="en-US"/>
                              </w:rPr>
                              <w:t>It sh</w:t>
                            </w:r>
                            <w:r w:rsidR="00E53BE1">
                              <w:rPr>
                                <w:rFonts w:ascii="Arial" w:hAnsi="Arial" w:cs="Arial"/>
                                <w:sz w:val="20"/>
                                <w:szCs w:val="20"/>
                                <w:lang w:val="en-US"/>
                              </w:rPr>
                              <w:t xml:space="preserve">ows that for May </w:t>
                            </w:r>
                            <w:r>
                              <w:rPr>
                                <w:rFonts w:ascii="Arial" w:hAnsi="Arial" w:cs="Arial"/>
                                <w:sz w:val="20"/>
                                <w:szCs w:val="20"/>
                                <w:lang w:val="en-US"/>
                              </w:rPr>
                              <w:t>the Trust has more cash than planned</w:t>
                            </w:r>
                          </w:p>
                          <w:p w:rsidR="00857E95" w:rsidRPr="00435313" w:rsidRDefault="00857E95" w:rsidP="00857E95">
                            <w:pPr>
                              <w:rPr>
                                <w:rFonts w:ascii="Arial" w:hAnsi="Arial" w:cs="Arial"/>
                                <w:sz w:val="20"/>
                                <w:szCs w:val="20"/>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1" o:spid="_x0000_s1026" type="#_x0000_t202" style="position:absolute;left:0;text-align:left;margin-left:368.8pt;margin-top:14pt;width:91.45pt;height:20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" fillcolor="window" strokeweight=".5pt">
                <v:textbox>
                  <w:txbxContent>
                    <w:p w:rsidR="00857E95" w:rsidRPr="00435313" w:rsidRDefault="00857E95" w:rsidP="00857E95">
                      <w:pPr>
                        <w:rPr>
                          <w:rFonts w:ascii="Arial" w:hAnsi="Arial" w:cs="Arial"/>
                          <w:sz w:val="20"/>
                          <w:szCs w:val="20"/>
                          <w:lang w:val="en-US"/>
                        </w:rPr>
                      </w:pPr>
                      <w:r w:rsidRPr="00435313">
                        <w:rPr>
                          <w:rFonts w:ascii="Arial" w:hAnsi="Arial" w:cs="Arial"/>
                          <w:sz w:val="20"/>
                          <w:szCs w:val="20"/>
                          <w:lang w:val="en-US"/>
                        </w:rPr>
                        <w:t xml:space="preserve">This chart shows monthly planned and actual </w:t>
                      </w:r>
                      <w:r>
                        <w:rPr>
                          <w:rFonts w:ascii="Arial" w:hAnsi="Arial" w:cs="Arial"/>
                          <w:sz w:val="20"/>
                          <w:szCs w:val="20"/>
                          <w:lang w:val="en-US"/>
                        </w:rPr>
                        <w:t>Cash Balances and Planned Capital Expenditure for 2020-21</w:t>
                      </w:r>
                      <w:r w:rsidRPr="00435313">
                        <w:rPr>
                          <w:rFonts w:ascii="Arial" w:hAnsi="Arial" w:cs="Arial"/>
                          <w:sz w:val="20"/>
                          <w:szCs w:val="20"/>
                          <w:lang w:val="en-US"/>
                        </w:rPr>
                        <w:t>.</w:t>
                      </w:r>
                    </w:p>
                    <w:p w:rsidR="00857E95" w:rsidRPr="00435313" w:rsidRDefault="00857E95" w:rsidP="00857E95">
                      <w:pPr>
                        <w:rPr>
                          <w:rFonts w:ascii="Arial" w:hAnsi="Arial" w:cs="Arial"/>
                          <w:sz w:val="20"/>
                          <w:szCs w:val="20"/>
                          <w:lang w:val="en-US"/>
                        </w:rPr>
                      </w:pPr>
                      <w:r w:rsidRPr="00435313">
                        <w:rPr>
                          <w:rFonts w:ascii="Arial" w:hAnsi="Arial" w:cs="Arial"/>
                          <w:sz w:val="20"/>
                          <w:szCs w:val="20"/>
                          <w:lang w:val="en-US"/>
                        </w:rPr>
                        <w:t>It sh</w:t>
                      </w:r>
                      <w:r w:rsidR="00E53BE1">
                        <w:rPr>
                          <w:rFonts w:ascii="Arial" w:hAnsi="Arial" w:cs="Arial"/>
                          <w:sz w:val="20"/>
                          <w:szCs w:val="20"/>
                          <w:lang w:val="en-US"/>
                        </w:rPr>
                        <w:t xml:space="preserve">ows that for May </w:t>
                      </w:r>
                      <w:r>
                        <w:rPr>
                          <w:rFonts w:ascii="Arial" w:hAnsi="Arial" w:cs="Arial"/>
                          <w:sz w:val="20"/>
                          <w:szCs w:val="20"/>
                          <w:lang w:val="en-US"/>
                        </w:rPr>
                        <w:t>the Trust has more cash than planned</w:t>
                      </w:r>
                    </w:p>
                    <w:p w:rsidR="00857E95" w:rsidRPr="00435313" w:rsidRDefault="00857E95" w:rsidP="00857E95">
                      <w:pPr>
                        <w:rPr>
                          <w:rFonts w:ascii="Arial" w:hAnsi="Arial" w:cs="Arial"/>
                          <w:sz w:val="20"/>
                          <w:szCs w:val="20"/>
                          <w:lang w:val="en-US"/>
                        </w:rPr>
                      </w:pPr>
                    </w:p>
                  </w:txbxContent>
                </v:textbox>
              </v:shape>
            </w:pict>
          </mc:Fallback>
        </mc:AlternateContent>
      </w:r>
    </w:p>
    <w:p w:rsidR="00C0527B" w:rsidRPr="00C0527B" w:rsidRDefault="00DD62C8" w:rsidP="00C0527B">
      <w:pPr>
        <w:pStyle w:val="ListParagraph"/>
        <w:ind w:left="567"/>
        <w:jc w:val="both"/>
        <w:rPr>
          <w:rFonts w:ascii="Arial" w:hAnsi="Arial" w:cs="Arial"/>
        </w:rPr>
      </w:pPr>
      <w:r w:rsidRPr="00DD62C8">
        <w:rPr>
          <w:noProof/>
          <w:lang w:eastAsia="en-GB"/>
        </w:rPr>
        <w:drawing>
          <wp:inline distT="0" distB="0" distL="0" distR="0" wp14:anchorId="1A3F7014" wp14:editId="0EBB7122">
            <wp:extent cx="4132053" cy="2601767"/>
            <wp:effectExtent l="0" t="0" r="1905"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35356" cy="2603847"/>
                    </a:xfrm>
                    <a:prstGeom prst="rect">
                      <a:avLst/>
                    </a:prstGeom>
                    <a:noFill/>
                    <a:ln>
                      <a:noFill/>
                    </a:ln>
                  </pic:spPr>
                </pic:pic>
              </a:graphicData>
            </a:graphic>
          </wp:inline>
        </w:drawing>
      </w:r>
    </w:p>
    <w:p w:rsidR="00105033" w:rsidRPr="00727785" w:rsidRDefault="00105033" w:rsidP="00105033">
      <w:pPr>
        <w:pStyle w:val="ListParagraph"/>
        <w:numPr>
          <w:ilvl w:val="0"/>
          <w:numId w:val="3"/>
        </w:numPr>
        <w:ind w:left="567" w:hanging="567"/>
        <w:rPr>
          <w:rFonts w:ascii="Arial" w:hAnsi="Arial" w:cs="Arial"/>
          <w:b/>
        </w:rPr>
      </w:pPr>
      <w:r w:rsidRPr="00727785">
        <w:rPr>
          <w:rFonts w:ascii="Arial" w:hAnsi="Arial" w:cs="Arial"/>
          <w:b/>
        </w:rPr>
        <w:lastRenderedPageBreak/>
        <w:t>Balance Sheet Commentary</w:t>
      </w:r>
    </w:p>
    <w:p w:rsidR="00105033" w:rsidRPr="00727785" w:rsidRDefault="00105033" w:rsidP="00105033">
      <w:pPr>
        <w:pStyle w:val="ListParagraph"/>
        <w:ind w:left="567"/>
        <w:jc w:val="both"/>
        <w:rPr>
          <w:rFonts w:ascii="Arial" w:hAnsi="Arial" w:cs="Arial"/>
        </w:rPr>
      </w:pPr>
    </w:p>
    <w:p w:rsidR="00A11371" w:rsidRPr="004356D2" w:rsidRDefault="00A11371" w:rsidP="00A11371">
      <w:pPr>
        <w:pStyle w:val="ListParagraph"/>
        <w:numPr>
          <w:ilvl w:val="1"/>
          <w:numId w:val="3"/>
        </w:numPr>
        <w:jc w:val="both"/>
        <w:rPr>
          <w:rFonts w:ascii="Arial" w:hAnsi="Arial" w:cs="Arial"/>
        </w:rPr>
      </w:pPr>
      <w:r w:rsidRPr="004356D2">
        <w:rPr>
          <w:rFonts w:ascii="Arial" w:hAnsi="Arial" w:cs="Arial"/>
        </w:rPr>
        <w:t>Non–current assets</w:t>
      </w:r>
    </w:p>
    <w:p w:rsidR="00A11371" w:rsidRPr="004356D2" w:rsidRDefault="00A11371" w:rsidP="00A11371">
      <w:pPr>
        <w:spacing w:after="0"/>
        <w:ind w:left="567"/>
        <w:contextualSpacing/>
        <w:jc w:val="both"/>
        <w:rPr>
          <w:rFonts w:ascii="Arial" w:hAnsi="Arial" w:cs="Arial"/>
        </w:rPr>
      </w:pPr>
      <w:r w:rsidRPr="004356D2">
        <w:rPr>
          <w:rFonts w:ascii="Arial" w:hAnsi="Arial" w:cs="Arial"/>
        </w:rPr>
        <w:t xml:space="preserve">Non-current assets have a </w:t>
      </w:r>
      <w:r w:rsidR="00727785" w:rsidRPr="004356D2">
        <w:rPr>
          <w:rFonts w:ascii="Arial" w:hAnsi="Arial" w:cs="Arial"/>
        </w:rPr>
        <w:t>posi</w:t>
      </w:r>
      <w:r w:rsidRPr="004356D2">
        <w:rPr>
          <w:rFonts w:ascii="Arial" w:hAnsi="Arial" w:cs="Arial"/>
        </w:rPr>
        <w:t>tive variance of £</w:t>
      </w:r>
      <w:r w:rsidR="00727785" w:rsidRPr="004356D2">
        <w:rPr>
          <w:rFonts w:ascii="Arial" w:hAnsi="Arial" w:cs="Arial"/>
        </w:rPr>
        <w:t>11</w:t>
      </w:r>
      <w:r w:rsidR="004356D2" w:rsidRPr="004356D2">
        <w:rPr>
          <w:rFonts w:ascii="Arial" w:hAnsi="Arial" w:cs="Arial"/>
        </w:rPr>
        <w:t>5</w:t>
      </w:r>
      <w:r w:rsidRPr="004356D2">
        <w:rPr>
          <w:rFonts w:ascii="Arial" w:hAnsi="Arial" w:cs="Arial"/>
        </w:rPr>
        <w:t>.</w:t>
      </w:r>
      <w:r w:rsidR="004356D2" w:rsidRPr="004356D2">
        <w:rPr>
          <w:rFonts w:ascii="Arial" w:hAnsi="Arial" w:cs="Arial"/>
        </w:rPr>
        <w:t>3</w:t>
      </w:r>
      <w:r w:rsidRPr="004356D2">
        <w:rPr>
          <w:rFonts w:ascii="Arial" w:hAnsi="Arial" w:cs="Arial"/>
        </w:rPr>
        <w:t>m against plan.  The principal drivers of this are:</w:t>
      </w:r>
    </w:p>
    <w:p w:rsidR="00A11371" w:rsidRPr="004356D2" w:rsidRDefault="00727785" w:rsidP="00A11371">
      <w:pPr>
        <w:numPr>
          <w:ilvl w:val="0"/>
          <w:numId w:val="22"/>
        </w:numPr>
        <w:spacing w:after="0"/>
        <w:jc w:val="both"/>
        <w:rPr>
          <w:rFonts w:ascii="Arial" w:hAnsi="Arial" w:cs="Arial"/>
        </w:rPr>
      </w:pPr>
      <w:r w:rsidRPr="004356D2">
        <w:rPr>
          <w:rFonts w:ascii="Arial" w:hAnsi="Arial" w:cs="Arial"/>
        </w:rPr>
        <w:t>There is</w:t>
      </w:r>
      <w:r w:rsidR="00A11371" w:rsidRPr="004356D2">
        <w:rPr>
          <w:rFonts w:ascii="Arial" w:hAnsi="Arial" w:cs="Arial"/>
        </w:rPr>
        <w:t xml:space="preserve"> a variance on property, plant &amp; equipment of £</w:t>
      </w:r>
      <w:r w:rsidR="007E42DC" w:rsidRPr="004356D2">
        <w:rPr>
          <w:rFonts w:ascii="Arial" w:hAnsi="Arial" w:cs="Arial"/>
        </w:rPr>
        <w:t>1</w:t>
      </w:r>
      <w:r w:rsidR="004356D2" w:rsidRPr="004356D2">
        <w:rPr>
          <w:rFonts w:ascii="Arial" w:hAnsi="Arial" w:cs="Arial"/>
        </w:rPr>
        <w:t>2</w:t>
      </w:r>
      <w:r w:rsidR="00A11371" w:rsidRPr="004356D2">
        <w:rPr>
          <w:rFonts w:ascii="Arial" w:hAnsi="Arial" w:cs="Arial"/>
        </w:rPr>
        <w:t>.</w:t>
      </w:r>
      <w:r w:rsidR="004356D2" w:rsidRPr="004356D2">
        <w:rPr>
          <w:rFonts w:ascii="Arial" w:hAnsi="Arial" w:cs="Arial"/>
        </w:rPr>
        <w:t>5</w:t>
      </w:r>
      <w:r w:rsidR="00A11371" w:rsidRPr="004356D2">
        <w:rPr>
          <w:rFonts w:ascii="Arial" w:hAnsi="Arial" w:cs="Arial"/>
        </w:rPr>
        <w:t>m due to the profiling of the capital spend in the plan against actual recognised assets to date.</w:t>
      </w:r>
    </w:p>
    <w:p w:rsidR="00105033" w:rsidRPr="004356D2" w:rsidRDefault="00727785" w:rsidP="00D4376A">
      <w:pPr>
        <w:numPr>
          <w:ilvl w:val="0"/>
          <w:numId w:val="22"/>
        </w:numPr>
        <w:spacing w:after="0"/>
        <w:jc w:val="both"/>
        <w:rPr>
          <w:rFonts w:ascii="Arial" w:hAnsi="Arial" w:cs="Arial"/>
        </w:rPr>
      </w:pPr>
      <w:r w:rsidRPr="004356D2">
        <w:rPr>
          <w:rFonts w:ascii="Arial" w:hAnsi="Arial" w:cs="Arial"/>
        </w:rPr>
        <w:t>The main variance of £126.</w:t>
      </w:r>
      <w:r w:rsidR="004356D2" w:rsidRPr="004356D2">
        <w:rPr>
          <w:rFonts w:ascii="Arial" w:hAnsi="Arial" w:cs="Arial"/>
        </w:rPr>
        <w:t>8</w:t>
      </w:r>
      <w:r w:rsidR="006B2A51" w:rsidRPr="004356D2">
        <w:rPr>
          <w:rFonts w:ascii="Arial" w:hAnsi="Arial" w:cs="Arial"/>
        </w:rPr>
        <w:t>m</w:t>
      </w:r>
      <w:r w:rsidRPr="004356D2">
        <w:rPr>
          <w:rFonts w:ascii="Arial" w:hAnsi="Arial" w:cs="Arial"/>
        </w:rPr>
        <w:t xml:space="preserve"> is due to </w:t>
      </w:r>
      <w:r w:rsidR="00EB2729" w:rsidRPr="004356D2">
        <w:rPr>
          <w:rFonts w:ascii="Arial" w:hAnsi="Arial" w:cs="Arial"/>
        </w:rPr>
        <w:t>Other Financial A</w:t>
      </w:r>
      <w:r w:rsidR="00A11371" w:rsidRPr="004356D2">
        <w:rPr>
          <w:rFonts w:ascii="Arial" w:hAnsi="Arial" w:cs="Arial"/>
        </w:rPr>
        <w:t xml:space="preserve">ssets </w:t>
      </w:r>
      <w:r w:rsidRPr="004356D2">
        <w:rPr>
          <w:rFonts w:ascii="Arial" w:hAnsi="Arial" w:cs="Arial"/>
        </w:rPr>
        <w:t>which relates</w:t>
      </w:r>
      <w:r w:rsidR="00B62919" w:rsidRPr="004356D2">
        <w:rPr>
          <w:rFonts w:ascii="Arial" w:hAnsi="Arial" w:cs="Arial"/>
        </w:rPr>
        <w:t xml:space="preserve"> to a PropC</w:t>
      </w:r>
      <w:r w:rsidR="00A11371" w:rsidRPr="004356D2">
        <w:rPr>
          <w:rFonts w:ascii="Arial" w:hAnsi="Arial" w:cs="Arial"/>
        </w:rPr>
        <w:t>are asset being created from the Liv</w:t>
      </w:r>
      <w:r w:rsidRPr="004356D2">
        <w:rPr>
          <w:rFonts w:ascii="Arial" w:hAnsi="Arial" w:cs="Arial"/>
        </w:rPr>
        <w:t>erpool hospital development. This figure isn’t included in the plan submitted to NHSI due to the fact that we report the Group position to them, so this consolidates out</w:t>
      </w:r>
      <w:r w:rsidR="00A11371" w:rsidRPr="004356D2">
        <w:rPr>
          <w:rFonts w:ascii="Arial" w:hAnsi="Arial" w:cs="Arial"/>
        </w:rPr>
        <w:t>. There is a related Prop</w:t>
      </w:r>
      <w:r w:rsidR="00B62919" w:rsidRPr="004356D2">
        <w:rPr>
          <w:rFonts w:ascii="Arial" w:hAnsi="Arial" w:cs="Arial"/>
        </w:rPr>
        <w:t>C</w:t>
      </w:r>
      <w:r w:rsidR="00A11371" w:rsidRPr="004356D2">
        <w:rPr>
          <w:rFonts w:ascii="Arial" w:hAnsi="Arial" w:cs="Arial"/>
        </w:rPr>
        <w:t>are non-current liability variance of £</w:t>
      </w:r>
      <w:r w:rsidR="00E75774" w:rsidRPr="004356D2">
        <w:rPr>
          <w:rFonts w:ascii="Arial" w:hAnsi="Arial" w:cs="Arial"/>
        </w:rPr>
        <w:t>1</w:t>
      </w:r>
      <w:r w:rsidR="000F10AB" w:rsidRPr="004356D2">
        <w:rPr>
          <w:rFonts w:ascii="Arial" w:hAnsi="Arial" w:cs="Arial"/>
        </w:rPr>
        <w:t>2</w:t>
      </w:r>
      <w:r w:rsidRPr="004356D2">
        <w:rPr>
          <w:rFonts w:ascii="Arial" w:hAnsi="Arial" w:cs="Arial"/>
        </w:rPr>
        <w:t>7</w:t>
      </w:r>
      <w:r w:rsidR="007E42DC" w:rsidRPr="004356D2">
        <w:rPr>
          <w:rFonts w:ascii="Arial" w:hAnsi="Arial" w:cs="Arial"/>
        </w:rPr>
        <w:t>.</w:t>
      </w:r>
      <w:r w:rsidR="004356D2" w:rsidRPr="004356D2">
        <w:rPr>
          <w:rFonts w:ascii="Arial" w:hAnsi="Arial" w:cs="Arial"/>
        </w:rPr>
        <w:t>8</w:t>
      </w:r>
      <w:r w:rsidR="00A11371" w:rsidRPr="004356D2">
        <w:rPr>
          <w:rFonts w:ascii="Arial" w:hAnsi="Arial" w:cs="Arial"/>
        </w:rPr>
        <w:t>m.</w:t>
      </w:r>
    </w:p>
    <w:p w:rsidR="00C81378" w:rsidRPr="004356D2" w:rsidRDefault="00C81378" w:rsidP="00A11371">
      <w:pPr>
        <w:spacing w:after="0"/>
        <w:rPr>
          <w:rFonts w:ascii="Arial" w:hAnsi="Arial" w:cs="Arial"/>
        </w:rPr>
      </w:pPr>
    </w:p>
    <w:p w:rsidR="00A11371" w:rsidRPr="00EE1AEF" w:rsidRDefault="00105033" w:rsidP="00A11371">
      <w:pPr>
        <w:pStyle w:val="ListParagraph"/>
        <w:numPr>
          <w:ilvl w:val="1"/>
          <w:numId w:val="3"/>
        </w:numPr>
        <w:jc w:val="both"/>
        <w:rPr>
          <w:rFonts w:ascii="Arial" w:hAnsi="Arial" w:cs="Arial"/>
        </w:rPr>
      </w:pPr>
      <w:r w:rsidRPr="00EE1AEF">
        <w:rPr>
          <w:rFonts w:ascii="Arial" w:hAnsi="Arial" w:cs="Arial"/>
        </w:rPr>
        <w:t>Curr</w:t>
      </w:r>
      <w:r w:rsidR="00A11371" w:rsidRPr="00EE1AEF">
        <w:rPr>
          <w:rFonts w:ascii="Arial" w:hAnsi="Arial" w:cs="Arial"/>
        </w:rPr>
        <w:t>ent assets</w:t>
      </w:r>
    </w:p>
    <w:p w:rsidR="00A11371" w:rsidRPr="00EE1AEF" w:rsidRDefault="00A11371" w:rsidP="00A11371">
      <w:pPr>
        <w:spacing w:after="0"/>
        <w:ind w:left="567"/>
        <w:jc w:val="both"/>
        <w:rPr>
          <w:rFonts w:ascii="Arial" w:hAnsi="Arial" w:cs="Arial"/>
        </w:rPr>
      </w:pPr>
      <w:r w:rsidRPr="00EE1AEF">
        <w:rPr>
          <w:rFonts w:ascii="Arial" w:hAnsi="Arial" w:cs="Arial"/>
        </w:rPr>
        <w:t>Current assets have a positive variance of £</w:t>
      </w:r>
      <w:r w:rsidR="00727785" w:rsidRPr="00EE1AEF">
        <w:rPr>
          <w:rFonts w:ascii="Arial" w:hAnsi="Arial" w:cs="Arial"/>
        </w:rPr>
        <w:t>2</w:t>
      </w:r>
      <w:r w:rsidR="00EE1AEF" w:rsidRPr="00EE1AEF">
        <w:rPr>
          <w:rFonts w:ascii="Arial" w:hAnsi="Arial" w:cs="Arial"/>
        </w:rPr>
        <w:t>6</w:t>
      </w:r>
      <w:r w:rsidRPr="00EE1AEF">
        <w:rPr>
          <w:rFonts w:ascii="Arial" w:hAnsi="Arial" w:cs="Arial"/>
        </w:rPr>
        <w:t>.</w:t>
      </w:r>
      <w:r w:rsidR="00EE1AEF" w:rsidRPr="00EE1AEF">
        <w:rPr>
          <w:rFonts w:ascii="Arial" w:hAnsi="Arial" w:cs="Arial"/>
        </w:rPr>
        <w:t>6</w:t>
      </w:r>
      <w:r w:rsidRPr="00EE1AEF">
        <w:rPr>
          <w:rFonts w:ascii="Arial" w:hAnsi="Arial" w:cs="Arial"/>
        </w:rPr>
        <w:t>m against plan, due to the following:</w:t>
      </w:r>
    </w:p>
    <w:p w:rsidR="00A11371" w:rsidRPr="00EE1AEF" w:rsidRDefault="00A11371" w:rsidP="00A11371">
      <w:pPr>
        <w:numPr>
          <w:ilvl w:val="0"/>
          <w:numId w:val="23"/>
        </w:numPr>
        <w:spacing w:after="0"/>
        <w:jc w:val="both"/>
        <w:rPr>
          <w:rFonts w:ascii="Arial" w:hAnsi="Arial" w:cs="Arial"/>
        </w:rPr>
      </w:pPr>
      <w:r w:rsidRPr="00EE1AEF">
        <w:rPr>
          <w:rFonts w:ascii="Arial" w:hAnsi="Arial" w:cs="Arial"/>
        </w:rPr>
        <w:t>A variance on cash of £</w:t>
      </w:r>
      <w:r w:rsidR="00EE1AEF" w:rsidRPr="00EE1AEF">
        <w:rPr>
          <w:rFonts w:ascii="Arial" w:hAnsi="Arial" w:cs="Arial"/>
        </w:rPr>
        <w:t>22</w:t>
      </w:r>
      <w:r w:rsidR="000F10AB" w:rsidRPr="00EE1AEF">
        <w:rPr>
          <w:rFonts w:ascii="Arial" w:hAnsi="Arial" w:cs="Arial"/>
        </w:rPr>
        <w:t>.</w:t>
      </w:r>
      <w:r w:rsidR="00EE1AEF" w:rsidRPr="00EE1AEF">
        <w:rPr>
          <w:rFonts w:ascii="Arial" w:hAnsi="Arial" w:cs="Arial"/>
        </w:rPr>
        <w:t>0</w:t>
      </w:r>
      <w:r w:rsidRPr="00EE1AEF">
        <w:rPr>
          <w:rFonts w:ascii="Arial" w:hAnsi="Arial" w:cs="Arial"/>
        </w:rPr>
        <w:t xml:space="preserve">m. </w:t>
      </w:r>
    </w:p>
    <w:p w:rsidR="00D4376A" w:rsidRPr="00EE1AEF" w:rsidRDefault="00D4376A" w:rsidP="00A11371">
      <w:pPr>
        <w:numPr>
          <w:ilvl w:val="0"/>
          <w:numId w:val="23"/>
        </w:numPr>
        <w:spacing w:after="0"/>
        <w:jc w:val="both"/>
        <w:rPr>
          <w:rFonts w:ascii="Arial" w:hAnsi="Arial" w:cs="Arial"/>
        </w:rPr>
      </w:pPr>
      <w:r w:rsidRPr="00EE1AEF">
        <w:rPr>
          <w:rFonts w:ascii="Arial" w:hAnsi="Arial" w:cs="Arial"/>
        </w:rPr>
        <w:t>Non-NHS receivable variance of £</w:t>
      </w:r>
      <w:r w:rsidR="000F10AB" w:rsidRPr="00EE1AEF">
        <w:rPr>
          <w:rFonts w:ascii="Arial" w:hAnsi="Arial" w:cs="Arial"/>
        </w:rPr>
        <w:t>1</w:t>
      </w:r>
      <w:r w:rsidR="00EE1AEF" w:rsidRPr="00EE1AEF">
        <w:rPr>
          <w:rFonts w:ascii="Arial" w:hAnsi="Arial" w:cs="Arial"/>
        </w:rPr>
        <w:t>5</w:t>
      </w:r>
      <w:r w:rsidRPr="00EE1AEF">
        <w:rPr>
          <w:rFonts w:ascii="Arial" w:hAnsi="Arial" w:cs="Arial"/>
        </w:rPr>
        <w:t>.</w:t>
      </w:r>
      <w:r w:rsidR="00EE1AEF" w:rsidRPr="00EE1AEF">
        <w:rPr>
          <w:rFonts w:ascii="Arial" w:hAnsi="Arial" w:cs="Arial"/>
        </w:rPr>
        <w:t>9</w:t>
      </w:r>
      <w:r w:rsidR="00727785" w:rsidRPr="00EE1AEF">
        <w:rPr>
          <w:rFonts w:ascii="Arial" w:hAnsi="Arial" w:cs="Arial"/>
        </w:rPr>
        <w:t>m relating</w:t>
      </w:r>
      <w:r w:rsidR="006B2A51" w:rsidRPr="00EE1AEF">
        <w:rPr>
          <w:rFonts w:ascii="Arial" w:hAnsi="Arial" w:cs="Arial"/>
        </w:rPr>
        <w:t xml:space="preserve"> mainly to the subsidiaries and Charity, which includes the £7m funding of donated equipment from 2019-20.</w:t>
      </w:r>
    </w:p>
    <w:p w:rsidR="00A11371" w:rsidRPr="00EE1AEF" w:rsidRDefault="00105033" w:rsidP="00A11371">
      <w:pPr>
        <w:pStyle w:val="ListParagraph"/>
        <w:numPr>
          <w:ilvl w:val="1"/>
          <w:numId w:val="3"/>
        </w:numPr>
        <w:jc w:val="both"/>
        <w:rPr>
          <w:rFonts w:ascii="Arial" w:hAnsi="Arial" w:cs="Arial"/>
        </w:rPr>
      </w:pPr>
      <w:r w:rsidRPr="00EE1AEF">
        <w:rPr>
          <w:rFonts w:ascii="Arial" w:hAnsi="Arial" w:cs="Arial"/>
        </w:rPr>
        <w:t>Current liabilities</w:t>
      </w:r>
    </w:p>
    <w:p w:rsidR="00105033" w:rsidRPr="00EE1AEF" w:rsidRDefault="00105033" w:rsidP="00105033">
      <w:pPr>
        <w:ind w:firstLine="567"/>
        <w:rPr>
          <w:rFonts w:ascii="Arial" w:hAnsi="Arial" w:cs="Arial"/>
        </w:rPr>
      </w:pPr>
      <w:r w:rsidRPr="00EE1AEF">
        <w:rPr>
          <w:rFonts w:ascii="Arial" w:hAnsi="Arial" w:cs="Arial"/>
        </w:rPr>
        <w:t>Current liabilities</w:t>
      </w:r>
      <w:r w:rsidR="00DC7E05" w:rsidRPr="00EE1AEF">
        <w:rPr>
          <w:rFonts w:ascii="Arial" w:hAnsi="Arial" w:cs="Arial"/>
        </w:rPr>
        <w:t xml:space="preserve"> have a </w:t>
      </w:r>
      <w:r w:rsidR="00743297" w:rsidRPr="00EE1AEF">
        <w:rPr>
          <w:rFonts w:ascii="Arial" w:hAnsi="Arial" w:cs="Arial"/>
        </w:rPr>
        <w:t>p</w:t>
      </w:r>
      <w:r w:rsidR="00D4376A" w:rsidRPr="00EE1AEF">
        <w:rPr>
          <w:rFonts w:ascii="Arial" w:hAnsi="Arial" w:cs="Arial"/>
        </w:rPr>
        <w:t>ositive variance of £</w:t>
      </w:r>
      <w:r w:rsidR="00EE1AEF" w:rsidRPr="00EE1AEF">
        <w:rPr>
          <w:rFonts w:ascii="Arial" w:hAnsi="Arial" w:cs="Arial"/>
        </w:rPr>
        <w:t>20</w:t>
      </w:r>
      <w:r w:rsidR="00D4376A" w:rsidRPr="00EE1AEF">
        <w:rPr>
          <w:rFonts w:ascii="Arial" w:hAnsi="Arial" w:cs="Arial"/>
        </w:rPr>
        <w:t>.</w:t>
      </w:r>
      <w:r w:rsidR="00EE1AEF" w:rsidRPr="00EE1AEF">
        <w:rPr>
          <w:rFonts w:ascii="Arial" w:hAnsi="Arial" w:cs="Arial"/>
        </w:rPr>
        <w:t>9</w:t>
      </w:r>
      <w:r w:rsidR="00AC32E5">
        <w:rPr>
          <w:rFonts w:ascii="Arial" w:hAnsi="Arial" w:cs="Arial"/>
        </w:rPr>
        <w:t>m against plan.</w:t>
      </w:r>
    </w:p>
    <w:p w:rsidR="008C0A8E" w:rsidRPr="00EE1AEF" w:rsidRDefault="00C81378" w:rsidP="00E84E63">
      <w:pPr>
        <w:numPr>
          <w:ilvl w:val="0"/>
          <w:numId w:val="24"/>
        </w:numPr>
        <w:spacing w:after="0"/>
        <w:ind w:left="714" w:hanging="357"/>
        <w:jc w:val="both"/>
        <w:rPr>
          <w:rFonts w:ascii="Arial" w:hAnsi="Arial" w:cs="Arial"/>
        </w:rPr>
      </w:pPr>
      <w:r w:rsidRPr="00EE1AEF">
        <w:rPr>
          <w:rFonts w:ascii="Arial" w:hAnsi="Arial" w:cs="Arial"/>
        </w:rPr>
        <w:t>There is</w:t>
      </w:r>
      <w:r w:rsidR="00105033" w:rsidRPr="00EE1AEF">
        <w:rPr>
          <w:rFonts w:ascii="Arial" w:hAnsi="Arial" w:cs="Arial"/>
        </w:rPr>
        <w:t xml:space="preserve"> a positive variance on </w:t>
      </w:r>
      <w:r w:rsidR="00F836D5" w:rsidRPr="00EE1AEF">
        <w:rPr>
          <w:rFonts w:ascii="Arial" w:hAnsi="Arial" w:cs="Arial"/>
        </w:rPr>
        <w:t>non-capital creditors of £1</w:t>
      </w:r>
      <w:r w:rsidR="00EE1AEF" w:rsidRPr="00EE1AEF">
        <w:rPr>
          <w:rFonts w:ascii="Arial" w:hAnsi="Arial" w:cs="Arial"/>
        </w:rPr>
        <w:t>9</w:t>
      </w:r>
      <w:r w:rsidR="00F836D5" w:rsidRPr="00EE1AEF">
        <w:rPr>
          <w:rFonts w:ascii="Arial" w:hAnsi="Arial" w:cs="Arial"/>
        </w:rPr>
        <w:t>.</w:t>
      </w:r>
      <w:r w:rsidR="00EE1AEF" w:rsidRPr="00EE1AEF">
        <w:rPr>
          <w:rFonts w:ascii="Arial" w:hAnsi="Arial" w:cs="Arial"/>
        </w:rPr>
        <w:t>2</w:t>
      </w:r>
      <w:r w:rsidR="00D4376A" w:rsidRPr="00EE1AEF">
        <w:rPr>
          <w:rFonts w:ascii="Arial" w:hAnsi="Arial" w:cs="Arial"/>
        </w:rPr>
        <w:t>m, of which £</w:t>
      </w:r>
      <w:r w:rsidR="00EE1AEF" w:rsidRPr="00EE1AEF">
        <w:rPr>
          <w:rFonts w:ascii="Arial" w:hAnsi="Arial" w:cs="Arial"/>
        </w:rPr>
        <w:t>10</w:t>
      </w:r>
      <w:r w:rsidR="00D4376A" w:rsidRPr="00EE1AEF">
        <w:rPr>
          <w:rFonts w:ascii="Arial" w:hAnsi="Arial" w:cs="Arial"/>
        </w:rPr>
        <w:t>.</w:t>
      </w:r>
      <w:r w:rsidR="00EE1AEF" w:rsidRPr="00EE1AEF">
        <w:rPr>
          <w:rFonts w:ascii="Arial" w:hAnsi="Arial" w:cs="Arial"/>
        </w:rPr>
        <w:t>6</w:t>
      </w:r>
      <w:r w:rsidR="00D4376A" w:rsidRPr="00EE1AEF">
        <w:rPr>
          <w:rFonts w:ascii="Arial" w:hAnsi="Arial" w:cs="Arial"/>
        </w:rPr>
        <w:t>m relates to subsidiary accruals.</w:t>
      </w:r>
      <w:r w:rsidR="00105033" w:rsidRPr="00EE1AEF">
        <w:rPr>
          <w:rFonts w:ascii="Arial" w:hAnsi="Arial" w:cs="Arial"/>
        </w:rPr>
        <w:t xml:space="preserve">  </w:t>
      </w:r>
    </w:p>
    <w:p w:rsidR="00E84E63" w:rsidRPr="00727785" w:rsidRDefault="00E84E63" w:rsidP="00E84E63">
      <w:pPr>
        <w:spacing w:after="0"/>
        <w:ind w:left="714"/>
        <w:jc w:val="both"/>
        <w:rPr>
          <w:rFonts w:ascii="Arial" w:hAnsi="Arial" w:cs="Arial"/>
        </w:rPr>
      </w:pPr>
    </w:p>
    <w:p w:rsidR="00492B82" w:rsidRPr="00EA4D7F" w:rsidRDefault="00492B82" w:rsidP="00263A51">
      <w:pPr>
        <w:pStyle w:val="ListParagraph"/>
        <w:numPr>
          <w:ilvl w:val="0"/>
          <w:numId w:val="3"/>
        </w:numPr>
        <w:ind w:left="567" w:hanging="567"/>
        <w:jc w:val="both"/>
        <w:rPr>
          <w:rFonts w:ascii="Arial" w:hAnsi="Arial" w:cs="Arial"/>
          <w:b/>
        </w:rPr>
      </w:pPr>
      <w:r w:rsidRPr="00EA4D7F">
        <w:rPr>
          <w:rFonts w:ascii="Arial" w:hAnsi="Arial" w:cs="Arial"/>
          <w:b/>
        </w:rPr>
        <w:t>Recommendations</w:t>
      </w:r>
    </w:p>
    <w:p w:rsidR="00492B82" w:rsidRPr="00EA4D7F" w:rsidRDefault="00492B82" w:rsidP="00492B82">
      <w:pPr>
        <w:pStyle w:val="ListParagraph"/>
        <w:ind w:left="567"/>
        <w:jc w:val="both"/>
        <w:rPr>
          <w:rFonts w:ascii="Arial" w:hAnsi="Arial" w:cs="Arial"/>
          <w:b/>
        </w:rPr>
      </w:pPr>
    </w:p>
    <w:p w:rsidR="00A84647" w:rsidRPr="00EA4D7F" w:rsidRDefault="00492B82" w:rsidP="00A84647">
      <w:pPr>
        <w:pStyle w:val="ListParagraph"/>
        <w:numPr>
          <w:ilvl w:val="1"/>
          <w:numId w:val="3"/>
        </w:numPr>
        <w:jc w:val="both"/>
        <w:rPr>
          <w:rFonts w:ascii="Arial" w:hAnsi="Arial" w:cs="Arial"/>
        </w:rPr>
      </w:pPr>
      <w:r w:rsidRPr="00EA4D7F">
        <w:rPr>
          <w:rFonts w:ascii="Arial" w:hAnsi="Arial" w:cs="Arial"/>
        </w:rPr>
        <w:t xml:space="preserve">The </w:t>
      </w:r>
      <w:r w:rsidR="000B4A6C" w:rsidRPr="00EA4D7F">
        <w:rPr>
          <w:rFonts w:ascii="Arial" w:hAnsi="Arial" w:cs="Arial"/>
        </w:rPr>
        <w:t xml:space="preserve">Trust Board (incorporating the </w:t>
      </w:r>
      <w:r w:rsidR="007D33CB" w:rsidRPr="00EA4D7F">
        <w:rPr>
          <w:rFonts w:ascii="Arial" w:hAnsi="Arial" w:cs="Arial"/>
        </w:rPr>
        <w:t>Performance Committee</w:t>
      </w:r>
      <w:r w:rsidR="000B4A6C" w:rsidRPr="00EA4D7F">
        <w:rPr>
          <w:rFonts w:ascii="Arial" w:hAnsi="Arial" w:cs="Arial"/>
        </w:rPr>
        <w:t>)</w:t>
      </w:r>
      <w:r w:rsidR="00A84647" w:rsidRPr="00EA4D7F">
        <w:rPr>
          <w:rFonts w:ascii="Arial" w:hAnsi="Arial" w:cs="Arial"/>
        </w:rPr>
        <w:t xml:space="preserve"> is asked to note the contents of the report, with reference to:</w:t>
      </w:r>
    </w:p>
    <w:p w:rsidR="00EA4D7F" w:rsidRPr="00EA4D7F" w:rsidRDefault="00EA4D7F" w:rsidP="00EA4D7F">
      <w:pPr>
        <w:pStyle w:val="ListParagraph"/>
        <w:ind w:left="567"/>
        <w:jc w:val="both"/>
        <w:rPr>
          <w:rFonts w:ascii="Arial" w:hAnsi="Arial" w:cs="Arial"/>
        </w:rPr>
      </w:pPr>
    </w:p>
    <w:p w:rsidR="00241047" w:rsidRPr="00EA4D7F" w:rsidRDefault="006B2A51" w:rsidP="003A4793">
      <w:pPr>
        <w:pStyle w:val="ListParagraph"/>
        <w:numPr>
          <w:ilvl w:val="0"/>
          <w:numId w:val="17"/>
        </w:numPr>
        <w:jc w:val="both"/>
        <w:rPr>
          <w:rFonts w:ascii="Arial" w:hAnsi="Arial" w:cs="Arial"/>
        </w:rPr>
      </w:pPr>
      <w:r>
        <w:rPr>
          <w:rFonts w:ascii="Arial" w:hAnsi="Arial" w:cs="Arial"/>
        </w:rPr>
        <w:t>The change in financial regime for 2020-21.</w:t>
      </w:r>
    </w:p>
    <w:p w:rsidR="00DD62C8" w:rsidRDefault="0078431C" w:rsidP="00DD62C8">
      <w:pPr>
        <w:pStyle w:val="ListParagraph"/>
        <w:numPr>
          <w:ilvl w:val="0"/>
          <w:numId w:val="17"/>
        </w:numPr>
        <w:jc w:val="both"/>
        <w:rPr>
          <w:rFonts w:ascii="Arial" w:hAnsi="Arial" w:cs="Arial"/>
        </w:rPr>
      </w:pPr>
      <w:r>
        <w:rPr>
          <w:rFonts w:ascii="Arial" w:hAnsi="Arial" w:cs="Arial"/>
        </w:rPr>
        <w:t>The cumulative</w:t>
      </w:r>
      <w:r w:rsidR="006B2A51">
        <w:rPr>
          <w:rFonts w:ascii="Arial" w:hAnsi="Arial" w:cs="Arial"/>
        </w:rPr>
        <w:t xml:space="preserve"> </w:t>
      </w:r>
      <w:r>
        <w:rPr>
          <w:rFonts w:ascii="Arial" w:hAnsi="Arial" w:cs="Arial"/>
        </w:rPr>
        <w:t>Top Up funding required of £40k</w:t>
      </w:r>
      <w:r w:rsidR="006B2A51">
        <w:rPr>
          <w:rFonts w:ascii="Arial" w:hAnsi="Arial" w:cs="Arial"/>
        </w:rPr>
        <w:t xml:space="preserve"> to being the control total position to breakeven.</w:t>
      </w:r>
    </w:p>
    <w:p w:rsidR="00C229B9" w:rsidRPr="00DD62C8" w:rsidRDefault="006B2A51" w:rsidP="00DD62C8">
      <w:pPr>
        <w:pStyle w:val="ListParagraph"/>
        <w:numPr>
          <w:ilvl w:val="0"/>
          <w:numId w:val="17"/>
        </w:numPr>
        <w:rPr>
          <w:rFonts w:ascii="Arial" w:hAnsi="Arial" w:cs="Arial"/>
        </w:rPr>
        <w:sectPr w:rsidR="00C229B9" w:rsidRPr="00DD62C8" w:rsidSect="006B2A51">
          <w:footerReference w:type="default" r:id="rId15"/>
          <w:pgSz w:w="11906" w:h="16838"/>
          <w:pgMar w:top="1440" w:right="1440" w:bottom="1440" w:left="1440" w:header="708" w:footer="708" w:gutter="0"/>
          <w:cols w:space="708"/>
          <w:docGrid w:linePitch="360"/>
        </w:sectPr>
      </w:pPr>
      <w:r w:rsidRPr="00DD62C8">
        <w:rPr>
          <w:rFonts w:ascii="Arial" w:hAnsi="Arial" w:cs="Arial"/>
        </w:rPr>
        <w:t>The strong liquidity position of the Trust</w:t>
      </w:r>
      <w:r w:rsidR="00A57755" w:rsidRPr="00DD62C8">
        <w:rPr>
          <w:rFonts w:ascii="Arial" w:hAnsi="Arial" w:cs="Arial"/>
        </w:rPr>
        <w:t>.</w:t>
      </w:r>
    </w:p>
    <w:p w:rsidR="008319B8" w:rsidRDefault="00061FAE" w:rsidP="00061FAE">
      <w:pPr>
        <w:pStyle w:val="ListParagraph"/>
        <w:ind w:left="0"/>
        <w:jc w:val="both"/>
        <w:rPr>
          <w:rFonts w:ascii="Arial" w:hAnsi="Arial" w:cs="Arial"/>
          <w:b/>
        </w:rPr>
      </w:pPr>
      <w:r w:rsidRPr="00EA4D7F">
        <w:rPr>
          <w:rFonts w:ascii="Arial" w:hAnsi="Arial" w:cs="Arial"/>
          <w:b/>
        </w:rPr>
        <w:lastRenderedPageBreak/>
        <w:t>Appendix A</w:t>
      </w:r>
      <w:r w:rsidR="007D33CB" w:rsidRPr="00EA4D7F">
        <w:rPr>
          <w:rFonts w:ascii="Arial" w:hAnsi="Arial" w:cs="Arial"/>
          <w:b/>
        </w:rPr>
        <w:t xml:space="preserve"> – </w:t>
      </w:r>
      <w:r w:rsidR="00433C1D" w:rsidRPr="00EA4D7F">
        <w:rPr>
          <w:rFonts w:ascii="Arial" w:hAnsi="Arial" w:cs="Arial"/>
          <w:b/>
        </w:rPr>
        <w:t>Income &amp; Expenditure (Statement of Comprehensive Income</w:t>
      </w:r>
      <w:r w:rsidR="00433C1D" w:rsidRPr="00433C1D">
        <w:rPr>
          <w:rFonts w:ascii="Arial" w:hAnsi="Arial" w:cs="Arial"/>
          <w:b/>
        </w:rPr>
        <w:t>)</w:t>
      </w:r>
    </w:p>
    <w:p w:rsidR="00EA4D7F" w:rsidRDefault="00EA4D7F" w:rsidP="00061FAE">
      <w:pPr>
        <w:pStyle w:val="ListParagraph"/>
        <w:ind w:left="0"/>
        <w:jc w:val="both"/>
        <w:rPr>
          <w:rFonts w:ascii="Arial" w:hAnsi="Arial" w:cs="Arial"/>
          <w:b/>
        </w:rPr>
      </w:pPr>
    </w:p>
    <w:p w:rsidR="00C229B9" w:rsidRDefault="00DD62C8" w:rsidP="00061FAE">
      <w:pPr>
        <w:pStyle w:val="ListParagraph"/>
        <w:ind w:left="0"/>
        <w:jc w:val="both"/>
        <w:rPr>
          <w:rFonts w:ascii="Arial" w:hAnsi="Arial" w:cs="Arial"/>
          <w:b/>
        </w:rPr>
        <w:sectPr w:rsidR="00C229B9" w:rsidSect="00C229B9">
          <w:pgSz w:w="16838" w:h="11906" w:orient="landscape"/>
          <w:pgMar w:top="1440" w:right="1440" w:bottom="1440" w:left="1440" w:header="708" w:footer="708" w:gutter="0"/>
          <w:cols w:space="708"/>
          <w:docGrid w:linePitch="360"/>
        </w:sectPr>
      </w:pPr>
      <w:r w:rsidRPr="00DD62C8">
        <w:rPr>
          <w:noProof/>
          <w:lang w:eastAsia="en-GB"/>
        </w:rPr>
        <w:drawing>
          <wp:inline distT="0" distB="0" distL="0" distR="0" wp14:anchorId="5F792E3A" wp14:editId="46EF3F7C">
            <wp:extent cx="8522898" cy="528186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522898" cy="5281866"/>
                    </a:xfrm>
                    <a:prstGeom prst="rect">
                      <a:avLst/>
                    </a:prstGeom>
                    <a:noFill/>
                    <a:ln>
                      <a:noFill/>
                    </a:ln>
                  </pic:spPr>
                </pic:pic>
              </a:graphicData>
            </a:graphic>
          </wp:inline>
        </w:drawing>
      </w:r>
    </w:p>
    <w:p w:rsidR="00A45EE0" w:rsidRDefault="007D33CB" w:rsidP="00061FAE">
      <w:pPr>
        <w:pStyle w:val="ListParagraph"/>
        <w:ind w:left="0"/>
        <w:jc w:val="both"/>
        <w:rPr>
          <w:rFonts w:ascii="Arial" w:hAnsi="Arial" w:cs="Arial"/>
          <w:b/>
        </w:rPr>
      </w:pPr>
      <w:r w:rsidRPr="00433C1D">
        <w:rPr>
          <w:rFonts w:ascii="Arial" w:hAnsi="Arial" w:cs="Arial"/>
          <w:b/>
        </w:rPr>
        <w:lastRenderedPageBreak/>
        <w:t xml:space="preserve">Appendix B – </w:t>
      </w:r>
      <w:r w:rsidR="00433C1D">
        <w:rPr>
          <w:rFonts w:ascii="Arial" w:hAnsi="Arial" w:cs="Arial"/>
          <w:b/>
        </w:rPr>
        <w:t>Balance Sheet (Statement of Financial Position)</w:t>
      </w:r>
    </w:p>
    <w:p w:rsidR="00E53BE1" w:rsidRDefault="00E53BE1" w:rsidP="00061FAE">
      <w:pPr>
        <w:pStyle w:val="ListParagraph"/>
        <w:ind w:left="0"/>
        <w:jc w:val="both"/>
        <w:rPr>
          <w:rFonts w:ascii="Arial" w:hAnsi="Arial" w:cs="Arial"/>
          <w:b/>
        </w:rPr>
      </w:pPr>
    </w:p>
    <w:p w:rsidR="00664C6B" w:rsidRPr="00433C1D" w:rsidRDefault="00664C6B" w:rsidP="00061FAE">
      <w:pPr>
        <w:pStyle w:val="ListParagraph"/>
        <w:ind w:left="0"/>
        <w:jc w:val="both"/>
        <w:rPr>
          <w:rFonts w:ascii="Arial" w:hAnsi="Arial" w:cs="Arial"/>
          <w:b/>
        </w:rPr>
      </w:pPr>
      <w:r w:rsidRPr="00664C6B">
        <w:rPr>
          <w:noProof/>
          <w:lang w:eastAsia="en-GB"/>
        </w:rPr>
        <w:drawing>
          <wp:inline distT="0" distB="0" distL="0" distR="0" wp14:anchorId="635F0990" wp14:editId="4FFEB9AC">
            <wp:extent cx="5731510" cy="6079732"/>
            <wp:effectExtent l="0" t="0" r="254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31510" cy="6079732"/>
                    </a:xfrm>
                    <a:prstGeom prst="rect">
                      <a:avLst/>
                    </a:prstGeom>
                    <a:noFill/>
                    <a:ln>
                      <a:noFill/>
                    </a:ln>
                  </pic:spPr>
                </pic:pic>
              </a:graphicData>
            </a:graphic>
          </wp:inline>
        </w:drawing>
      </w:r>
    </w:p>
    <w:p w:rsidR="00193DF0" w:rsidRDefault="00193DF0" w:rsidP="00193DF0">
      <w:pPr>
        <w:pStyle w:val="ListParagraph"/>
        <w:ind w:left="0"/>
        <w:jc w:val="both"/>
        <w:rPr>
          <w:rFonts w:ascii="Arial" w:hAnsi="Arial" w:cs="Arial"/>
          <w:b/>
          <w:highlight w:val="yellow"/>
        </w:rPr>
        <w:sectPr w:rsidR="00193DF0" w:rsidSect="00C229B9">
          <w:pgSz w:w="11906" w:h="16838"/>
          <w:pgMar w:top="1440" w:right="1440" w:bottom="1440" w:left="1440" w:header="708" w:footer="708" w:gutter="0"/>
          <w:cols w:space="708"/>
          <w:docGrid w:linePitch="360"/>
        </w:sectPr>
      </w:pPr>
    </w:p>
    <w:p w:rsidR="007D33CB" w:rsidRDefault="007D33CB" w:rsidP="00061FAE">
      <w:pPr>
        <w:pStyle w:val="ListParagraph"/>
        <w:ind w:left="0"/>
        <w:jc w:val="both"/>
        <w:rPr>
          <w:rFonts w:ascii="Arial" w:hAnsi="Arial" w:cs="Arial"/>
          <w:b/>
        </w:rPr>
      </w:pPr>
      <w:r w:rsidRPr="00EA1449">
        <w:rPr>
          <w:rFonts w:ascii="Arial" w:hAnsi="Arial" w:cs="Arial"/>
          <w:b/>
        </w:rPr>
        <w:lastRenderedPageBreak/>
        <w:t>Appendix C – C</w:t>
      </w:r>
      <w:r w:rsidR="00EA1449">
        <w:rPr>
          <w:rFonts w:ascii="Arial" w:hAnsi="Arial" w:cs="Arial"/>
          <w:b/>
        </w:rPr>
        <w:t xml:space="preserve">ash </w:t>
      </w:r>
      <w:r w:rsidRPr="00EA1449">
        <w:rPr>
          <w:rFonts w:ascii="Arial" w:hAnsi="Arial" w:cs="Arial"/>
          <w:b/>
        </w:rPr>
        <w:t>F</w:t>
      </w:r>
      <w:r w:rsidR="00EA1449">
        <w:rPr>
          <w:rFonts w:ascii="Arial" w:hAnsi="Arial" w:cs="Arial"/>
          <w:b/>
        </w:rPr>
        <w:t>low</w:t>
      </w:r>
    </w:p>
    <w:p w:rsidR="00433C1D" w:rsidRDefault="00433C1D" w:rsidP="00061FAE">
      <w:pPr>
        <w:pStyle w:val="ListParagraph"/>
        <w:ind w:left="0"/>
        <w:jc w:val="both"/>
        <w:rPr>
          <w:rFonts w:ascii="Arial" w:hAnsi="Arial" w:cs="Arial"/>
          <w:b/>
          <w:highlight w:val="yellow"/>
        </w:rPr>
      </w:pPr>
    </w:p>
    <w:p w:rsidR="00A45EE0" w:rsidRDefault="00664C6B" w:rsidP="00061FAE">
      <w:pPr>
        <w:pStyle w:val="ListParagraph"/>
        <w:ind w:left="0"/>
        <w:jc w:val="both"/>
        <w:rPr>
          <w:rFonts w:ascii="Arial" w:hAnsi="Arial" w:cs="Arial"/>
          <w:b/>
          <w:highlight w:val="yellow"/>
        </w:rPr>
        <w:sectPr w:rsidR="00A45EE0" w:rsidSect="0068222B">
          <w:pgSz w:w="11906" w:h="16838"/>
          <w:pgMar w:top="1440" w:right="1440" w:bottom="1440" w:left="1440" w:header="708" w:footer="708" w:gutter="0"/>
          <w:cols w:space="708"/>
          <w:docGrid w:linePitch="360"/>
        </w:sectPr>
      </w:pPr>
      <w:r w:rsidRPr="00664C6B">
        <w:rPr>
          <w:noProof/>
          <w:lang w:eastAsia="en-GB"/>
        </w:rPr>
        <w:drawing>
          <wp:inline distT="0" distB="0" distL="0" distR="0">
            <wp:extent cx="4563110" cy="5848985"/>
            <wp:effectExtent l="0" t="0" r="889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63110" cy="5848985"/>
                    </a:xfrm>
                    <a:prstGeom prst="rect">
                      <a:avLst/>
                    </a:prstGeom>
                    <a:noFill/>
                    <a:ln>
                      <a:noFill/>
                    </a:ln>
                  </pic:spPr>
                </pic:pic>
              </a:graphicData>
            </a:graphic>
          </wp:inline>
        </w:drawing>
      </w:r>
    </w:p>
    <w:p w:rsidR="007D33CB" w:rsidRDefault="00A45EE0" w:rsidP="00061FAE">
      <w:pPr>
        <w:pStyle w:val="ListParagraph"/>
        <w:ind w:left="0"/>
        <w:jc w:val="both"/>
        <w:rPr>
          <w:rFonts w:ascii="Arial" w:hAnsi="Arial" w:cs="Arial"/>
          <w:b/>
        </w:rPr>
      </w:pPr>
      <w:r w:rsidRPr="003154D6">
        <w:rPr>
          <w:rFonts w:ascii="Arial" w:hAnsi="Arial" w:cs="Arial"/>
          <w:b/>
        </w:rPr>
        <w:lastRenderedPageBreak/>
        <w:t xml:space="preserve">Appendix </w:t>
      </w:r>
      <w:r w:rsidR="002F4EAC">
        <w:rPr>
          <w:rFonts w:ascii="Arial" w:hAnsi="Arial" w:cs="Arial"/>
          <w:b/>
        </w:rPr>
        <w:t>D</w:t>
      </w:r>
      <w:r w:rsidR="007D33CB" w:rsidRPr="003154D6">
        <w:rPr>
          <w:rFonts w:ascii="Arial" w:hAnsi="Arial" w:cs="Arial"/>
          <w:b/>
        </w:rPr>
        <w:t xml:space="preserve"> </w:t>
      </w:r>
      <w:r w:rsidR="003154D6" w:rsidRPr="003154D6">
        <w:rPr>
          <w:rFonts w:ascii="Arial" w:hAnsi="Arial" w:cs="Arial"/>
          <w:b/>
        </w:rPr>
        <w:t>–</w:t>
      </w:r>
      <w:r w:rsidR="00DD62C8">
        <w:rPr>
          <w:rFonts w:ascii="Arial" w:hAnsi="Arial" w:cs="Arial"/>
          <w:b/>
        </w:rPr>
        <w:t xml:space="preserve"> Capital Expenditure</w:t>
      </w:r>
      <w:r w:rsidR="00166727">
        <w:rPr>
          <w:rFonts w:ascii="Arial" w:hAnsi="Arial" w:cs="Arial"/>
          <w:b/>
        </w:rPr>
        <w:t xml:space="preserve"> </w:t>
      </w:r>
    </w:p>
    <w:p w:rsidR="003154D6" w:rsidRDefault="003154D6" w:rsidP="00061FAE">
      <w:pPr>
        <w:pStyle w:val="ListParagraph"/>
        <w:ind w:left="0"/>
        <w:jc w:val="both"/>
        <w:rPr>
          <w:rFonts w:ascii="Arial" w:hAnsi="Arial" w:cs="Arial"/>
          <w:b/>
        </w:rPr>
      </w:pPr>
    </w:p>
    <w:p w:rsidR="00061FAE" w:rsidRDefault="00DD62C8" w:rsidP="00061FAE">
      <w:pPr>
        <w:pStyle w:val="ListParagraph"/>
        <w:ind w:left="0"/>
        <w:jc w:val="both"/>
        <w:rPr>
          <w:rFonts w:ascii="Arial" w:hAnsi="Arial" w:cs="Arial"/>
          <w:b/>
        </w:rPr>
      </w:pPr>
      <w:r w:rsidRPr="00DD62C8">
        <w:rPr>
          <w:noProof/>
          <w:lang w:eastAsia="en-GB"/>
        </w:rPr>
        <w:drawing>
          <wp:inline distT="0" distB="0" distL="0" distR="0">
            <wp:extent cx="8402320" cy="42183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402320" cy="4218305"/>
                    </a:xfrm>
                    <a:prstGeom prst="rect">
                      <a:avLst/>
                    </a:prstGeom>
                    <a:noFill/>
                    <a:ln>
                      <a:noFill/>
                    </a:ln>
                  </pic:spPr>
                </pic:pic>
              </a:graphicData>
            </a:graphic>
          </wp:inline>
        </w:drawing>
      </w:r>
    </w:p>
    <w:p w:rsidR="00A54C9C" w:rsidRDefault="00A54C9C" w:rsidP="00061FAE">
      <w:pPr>
        <w:pStyle w:val="ListParagraph"/>
        <w:ind w:left="0"/>
        <w:jc w:val="both"/>
        <w:rPr>
          <w:rFonts w:ascii="Arial" w:hAnsi="Arial" w:cs="Arial"/>
          <w:b/>
        </w:rPr>
      </w:pPr>
    </w:p>
    <w:p w:rsidR="00A54C9C" w:rsidRDefault="00A54C9C" w:rsidP="00061FAE">
      <w:pPr>
        <w:pStyle w:val="ListParagraph"/>
        <w:ind w:left="0"/>
        <w:jc w:val="both"/>
        <w:rPr>
          <w:rFonts w:ascii="Arial" w:hAnsi="Arial" w:cs="Arial"/>
          <w:b/>
        </w:rPr>
      </w:pPr>
    </w:p>
    <w:p w:rsidR="00A54C9C" w:rsidRDefault="00A54C9C" w:rsidP="00061FAE">
      <w:pPr>
        <w:pStyle w:val="ListParagraph"/>
        <w:ind w:left="0"/>
        <w:jc w:val="both"/>
        <w:rPr>
          <w:rFonts w:ascii="Arial" w:hAnsi="Arial" w:cs="Arial"/>
          <w:b/>
        </w:rPr>
      </w:pPr>
    </w:p>
    <w:p w:rsidR="00A54C9C" w:rsidRDefault="00A54C9C" w:rsidP="00061FAE">
      <w:pPr>
        <w:pStyle w:val="ListParagraph"/>
        <w:ind w:left="0"/>
        <w:jc w:val="both"/>
        <w:rPr>
          <w:rFonts w:ascii="Arial" w:hAnsi="Arial" w:cs="Arial"/>
          <w:b/>
        </w:rPr>
      </w:pPr>
    </w:p>
    <w:p w:rsidR="00A54C9C" w:rsidRDefault="00A54C9C" w:rsidP="00061FAE">
      <w:pPr>
        <w:pStyle w:val="ListParagraph"/>
        <w:ind w:left="0"/>
        <w:jc w:val="both"/>
        <w:rPr>
          <w:rFonts w:ascii="Arial" w:hAnsi="Arial" w:cs="Arial"/>
          <w:b/>
        </w:rPr>
      </w:pPr>
    </w:p>
    <w:p w:rsidR="00A54C9C" w:rsidRDefault="00A54C9C" w:rsidP="00061FAE">
      <w:pPr>
        <w:pStyle w:val="ListParagraph"/>
        <w:ind w:left="0"/>
        <w:jc w:val="both"/>
        <w:rPr>
          <w:rFonts w:ascii="Arial" w:hAnsi="Arial" w:cs="Arial"/>
          <w:b/>
        </w:rPr>
      </w:pPr>
    </w:p>
    <w:p w:rsidR="00A54C9C" w:rsidRDefault="00A54C9C" w:rsidP="00061FAE">
      <w:pPr>
        <w:pStyle w:val="ListParagraph"/>
        <w:ind w:left="0"/>
        <w:jc w:val="both"/>
        <w:rPr>
          <w:rFonts w:ascii="Arial" w:hAnsi="Arial" w:cs="Arial"/>
          <w:b/>
        </w:rPr>
      </w:pPr>
    </w:p>
    <w:p w:rsidR="00A54C9C" w:rsidRDefault="00A54C9C" w:rsidP="00061FAE">
      <w:pPr>
        <w:pStyle w:val="ListParagraph"/>
        <w:ind w:left="0"/>
        <w:jc w:val="both"/>
        <w:rPr>
          <w:rFonts w:ascii="Arial" w:hAnsi="Arial" w:cs="Arial"/>
          <w:b/>
        </w:rPr>
      </w:pPr>
    </w:p>
    <w:p w:rsidR="00A54C9C" w:rsidRDefault="00A54C9C" w:rsidP="00061FAE">
      <w:pPr>
        <w:pStyle w:val="ListParagraph"/>
        <w:ind w:left="0"/>
        <w:jc w:val="both"/>
        <w:rPr>
          <w:rFonts w:ascii="Arial" w:hAnsi="Arial" w:cs="Arial"/>
          <w:b/>
        </w:rPr>
      </w:pPr>
    </w:p>
    <w:p w:rsidR="00A54C9C" w:rsidRPr="00061FAE" w:rsidRDefault="00A54C9C" w:rsidP="00061FAE">
      <w:pPr>
        <w:pStyle w:val="ListParagraph"/>
        <w:ind w:left="0"/>
        <w:jc w:val="both"/>
        <w:rPr>
          <w:rFonts w:ascii="Arial" w:hAnsi="Arial" w:cs="Arial"/>
          <w:b/>
        </w:rPr>
      </w:pPr>
    </w:p>
    <w:sectPr w:rsidR="00A54C9C" w:rsidRPr="00061FAE" w:rsidSect="00DD62C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4D6" w:rsidRDefault="003154D6" w:rsidP="00536078">
      <w:pPr>
        <w:spacing w:after="0" w:line="240" w:lineRule="auto"/>
      </w:pPr>
      <w:r>
        <w:separator/>
      </w:r>
    </w:p>
  </w:endnote>
  <w:endnote w:type="continuationSeparator" w:id="0">
    <w:p w:rsidR="003154D6" w:rsidRDefault="003154D6" w:rsidP="00536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4267669"/>
      <w:docPartObj>
        <w:docPartGallery w:val="Page Numbers (Bottom of Page)"/>
        <w:docPartUnique/>
      </w:docPartObj>
    </w:sdtPr>
    <w:sdtEndPr>
      <w:rPr>
        <w:rFonts w:ascii="Arial" w:hAnsi="Arial" w:cs="Arial"/>
        <w:noProof/>
      </w:rPr>
    </w:sdtEndPr>
    <w:sdtContent>
      <w:p w:rsidR="003154D6" w:rsidRPr="00156AC8" w:rsidRDefault="003154D6">
        <w:pPr>
          <w:pStyle w:val="Footer"/>
          <w:jc w:val="right"/>
          <w:rPr>
            <w:rFonts w:ascii="Arial" w:hAnsi="Arial" w:cs="Arial"/>
          </w:rPr>
        </w:pPr>
        <w:r w:rsidRPr="00156AC8">
          <w:rPr>
            <w:rFonts w:ascii="Arial" w:hAnsi="Arial" w:cs="Arial"/>
          </w:rPr>
          <w:fldChar w:fldCharType="begin"/>
        </w:r>
        <w:r w:rsidRPr="00156AC8">
          <w:rPr>
            <w:rFonts w:ascii="Arial" w:hAnsi="Arial" w:cs="Arial"/>
          </w:rPr>
          <w:instrText xml:space="preserve"> PAGE   \* MERGEFORMAT </w:instrText>
        </w:r>
        <w:r w:rsidRPr="00156AC8">
          <w:rPr>
            <w:rFonts w:ascii="Arial" w:hAnsi="Arial" w:cs="Arial"/>
          </w:rPr>
          <w:fldChar w:fldCharType="separate"/>
        </w:r>
        <w:r w:rsidR="00573436">
          <w:rPr>
            <w:rFonts w:ascii="Arial" w:hAnsi="Arial" w:cs="Arial"/>
            <w:noProof/>
          </w:rPr>
          <w:t>2</w:t>
        </w:r>
        <w:r w:rsidRPr="00156AC8">
          <w:rPr>
            <w:rFonts w:ascii="Arial" w:hAnsi="Arial" w:cs="Arial"/>
            <w:noProof/>
          </w:rPr>
          <w:fldChar w:fldCharType="end"/>
        </w:r>
      </w:p>
    </w:sdtContent>
  </w:sdt>
  <w:p w:rsidR="003154D6" w:rsidRDefault="003154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4D6" w:rsidRDefault="003154D6" w:rsidP="00536078">
      <w:pPr>
        <w:spacing w:after="0" w:line="240" w:lineRule="auto"/>
      </w:pPr>
      <w:r>
        <w:separator/>
      </w:r>
    </w:p>
  </w:footnote>
  <w:footnote w:type="continuationSeparator" w:id="0">
    <w:p w:rsidR="003154D6" w:rsidRDefault="003154D6" w:rsidP="005360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5E2D"/>
    <w:multiLevelType w:val="hybridMultilevel"/>
    <w:tmpl w:val="DB9C7C0C"/>
    <w:lvl w:ilvl="0" w:tplc="95F2F162">
      <w:start w:val="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8EA17CA"/>
    <w:multiLevelType w:val="multilevel"/>
    <w:tmpl w:val="AD285D62"/>
    <w:lvl w:ilvl="0">
      <w:start w:val="1"/>
      <w:numFmt w:val="decimal"/>
      <w:lvlText w:val="%1."/>
      <w:lvlJc w:val="left"/>
      <w:pPr>
        <w:ind w:left="363" w:hanging="360"/>
      </w:pPr>
      <w:rPr>
        <w:rFonts w:hint="default"/>
        <w:b/>
      </w:rPr>
    </w:lvl>
    <w:lvl w:ilvl="1">
      <w:start w:val="1"/>
      <w:numFmt w:val="decimal"/>
      <w:isLgl/>
      <w:lvlText w:val="%1.%2"/>
      <w:lvlJc w:val="left"/>
      <w:pPr>
        <w:ind w:left="567" w:hanging="564"/>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083" w:hanging="1080"/>
      </w:pPr>
      <w:rPr>
        <w:rFonts w:hint="default"/>
      </w:rPr>
    </w:lvl>
    <w:lvl w:ilvl="4">
      <w:start w:val="1"/>
      <w:numFmt w:val="decimal"/>
      <w:isLgl/>
      <w:lvlText w:val="%1.%2.%3.%4.%5"/>
      <w:lvlJc w:val="left"/>
      <w:pPr>
        <w:ind w:left="1083"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3" w:hanging="1440"/>
      </w:pPr>
      <w:rPr>
        <w:rFonts w:hint="default"/>
      </w:rPr>
    </w:lvl>
    <w:lvl w:ilvl="7">
      <w:start w:val="1"/>
      <w:numFmt w:val="decimal"/>
      <w:isLgl/>
      <w:lvlText w:val="%1.%2.%3.%4.%5.%6.%7.%8"/>
      <w:lvlJc w:val="left"/>
      <w:pPr>
        <w:ind w:left="1803" w:hanging="1800"/>
      </w:pPr>
      <w:rPr>
        <w:rFonts w:hint="default"/>
      </w:rPr>
    </w:lvl>
    <w:lvl w:ilvl="8">
      <w:start w:val="1"/>
      <w:numFmt w:val="decimal"/>
      <w:isLgl/>
      <w:lvlText w:val="%1.%2.%3.%4.%5.%6.%7.%8.%9"/>
      <w:lvlJc w:val="left"/>
      <w:pPr>
        <w:ind w:left="1803" w:hanging="1800"/>
      </w:pPr>
      <w:rPr>
        <w:rFonts w:hint="default"/>
      </w:rPr>
    </w:lvl>
  </w:abstractNum>
  <w:abstractNum w:abstractNumId="2">
    <w:nsid w:val="0C9C6DB5"/>
    <w:multiLevelType w:val="hybridMultilevel"/>
    <w:tmpl w:val="20163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0B05E49"/>
    <w:multiLevelType w:val="hybridMultilevel"/>
    <w:tmpl w:val="CB10A6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155F01D3"/>
    <w:multiLevelType w:val="hybridMultilevel"/>
    <w:tmpl w:val="9CA026D4"/>
    <w:lvl w:ilvl="0" w:tplc="0B8A2FEA">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
    <w:nsid w:val="15AA6165"/>
    <w:multiLevelType w:val="hybridMultilevel"/>
    <w:tmpl w:val="57E6A064"/>
    <w:lvl w:ilvl="0" w:tplc="370C2BAE">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5C97DFE"/>
    <w:multiLevelType w:val="hybridMultilevel"/>
    <w:tmpl w:val="AA46CF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1D421915"/>
    <w:multiLevelType w:val="hybridMultilevel"/>
    <w:tmpl w:val="272AC9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3458AC"/>
    <w:multiLevelType w:val="hybridMultilevel"/>
    <w:tmpl w:val="2F5E92E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20981F89"/>
    <w:multiLevelType w:val="multilevel"/>
    <w:tmpl w:val="DFD6C7A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nsid w:val="257122D3"/>
    <w:multiLevelType w:val="hybridMultilevel"/>
    <w:tmpl w:val="5B789A7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94337B6"/>
    <w:multiLevelType w:val="hybridMultilevel"/>
    <w:tmpl w:val="19F65BC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2AF417EF"/>
    <w:multiLevelType w:val="multilevel"/>
    <w:tmpl w:val="36C215D0"/>
    <w:lvl w:ilvl="0">
      <w:start w:val="1"/>
      <w:numFmt w:val="decimal"/>
      <w:lvlText w:val="%1."/>
      <w:lvlJc w:val="left"/>
      <w:pPr>
        <w:ind w:left="363" w:hanging="360"/>
      </w:pPr>
      <w:rPr>
        <w:rFonts w:hint="default"/>
        <w:b/>
      </w:rPr>
    </w:lvl>
    <w:lvl w:ilvl="1">
      <w:start w:val="1"/>
      <w:numFmt w:val="decimal"/>
      <w:isLgl/>
      <w:lvlText w:val="%1.%2"/>
      <w:lvlJc w:val="left"/>
      <w:pPr>
        <w:ind w:left="567" w:hanging="564"/>
      </w:pPr>
      <w:rPr>
        <w:rFonts w:hint="default"/>
        <w:b w:val="0"/>
      </w:rPr>
    </w:lvl>
    <w:lvl w:ilvl="2">
      <w:start w:val="1"/>
      <w:numFmt w:val="decimal"/>
      <w:isLgl/>
      <w:lvlText w:val="%1.%2.%3"/>
      <w:lvlJc w:val="left"/>
      <w:pPr>
        <w:ind w:left="4900" w:hanging="720"/>
      </w:pPr>
      <w:rPr>
        <w:rFonts w:hint="default"/>
      </w:rPr>
    </w:lvl>
    <w:lvl w:ilvl="3">
      <w:start w:val="1"/>
      <w:numFmt w:val="decimal"/>
      <w:isLgl/>
      <w:lvlText w:val="%1.%2.%3.%4"/>
      <w:lvlJc w:val="left"/>
      <w:pPr>
        <w:ind w:left="1083" w:hanging="1080"/>
      </w:pPr>
      <w:rPr>
        <w:rFonts w:hint="default"/>
      </w:rPr>
    </w:lvl>
    <w:lvl w:ilvl="4">
      <w:start w:val="1"/>
      <w:numFmt w:val="decimal"/>
      <w:isLgl/>
      <w:lvlText w:val="%1.%2.%3.%4.%5"/>
      <w:lvlJc w:val="left"/>
      <w:pPr>
        <w:ind w:left="1083"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3" w:hanging="1440"/>
      </w:pPr>
      <w:rPr>
        <w:rFonts w:hint="default"/>
      </w:rPr>
    </w:lvl>
    <w:lvl w:ilvl="7">
      <w:start w:val="1"/>
      <w:numFmt w:val="decimal"/>
      <w:isLgl/>
      <w:lvlText w:val="%1.%2.%3.%4.%5.%6.%7.%8"/>
      <w:lvlJc w:val="left"/>
      <w:pPr>
        <w:ind w:left="1803" w:hanging="1800"/>
      </w:pPr>
      <w:rPr>
        <w:rFonts w:hint="default"/>
      </w:rPr>
    </w:lvl>
    <w:lvl w:ilvl="8">
      <w:start w:val="1"/>
      <w:numFmt w:val="decimal"/>
      <w:isLgl/>
      <w:lvlText w:val="%1.%2.%3.%4.%5.%6.%7.%8.%9"/>
      <w:lvlJc w:val="left"/>
      <w:pPr>
        <w:ind w:left="1803" w:hanging="1800"/>
      </w:pPr>
      <w:rPr>
        <w:rFonts w:hint="default"/>
      </w:rPr>
    </w:lvl>
  </w:abstractNum>
  <w:abstractNum w:abstractNumId="13">
    <w:nsid w:val="2C0F6C26"/>
    <w:multiLevelType w:val="hybridMultilevel"/>
    <w:tmpl w:val="3DA44D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7295B14"/>
    <w:multiLevelType w:val="hybridMultilevel"/>
    <w:tmpl w:val="C060B7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ADC5CE3"/>
    <w:multiLevelType w:val="multilevel"/>
    <w:tmpl w:val="36C215D0"/>
    <w:lvl w:ilvl="0">
      <w:start w:val="1"/>
      <w:numFmt w:val="decimal"/>
      <w:lvlText w:val="%1."/>
      <w:lvlJc w:val="left"/>
      <w:pPr>
        <w:ind w:left="720" w:hanging="360"/>
      </w:pPr>
      <w:rPr>
        <w:rFonts w:hint="default"/>
        <w:b/>
      </w:rPr>
    </w:lvl>
    <w:lvl w:ilvl="1">
      <w:start w:val="1"/>
      <w:numFmt w:val="decimal"/>
      <w:isLgl/>
      <w:lvlText w:val="%1.%2"/>
      <w:lvlJc w:val="left"/>
      <w:pPr>
        <w:ind w:left="924" w:hanging="564"/>
      </w:pPr>
      <w:rPr>
        <w:rFonts w:hint="default"/>
        <w:b w:val="0"/>
      </w:rPr>
    </w:lvl>
    <w:lvl w:ilvl="2">
      <w:start w:val="1"/>
      <w:numFmt w:val="decimal"/>
      <w:isLgl/>
      <w:lvlText w:val="%1.%2.%3"/>
      <w:lvlJc w:val="left"/>
      <w:pPr>
        <w:ind w:left="525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491C0DB5"/>
    <w:multiLevelType w:val="hybridMultilevel"/>
    <w:tmpl w:val="2D6A9E8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nsid w:val="5A8D2244"/>
    <w:multiLevelType w:val="hybridMultilevel"/>
    <w:tmpl w:val="A5EA77E4"/>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nsid w:val="5F1E3A5B"/>
    <w:multiLevelType w:val="hybridMultilevel"/>
    <w:tmpl w:val="20744A64"/>
    <w:lvl w:ilvl="0" w:tplc="370C2BAE">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07D596C"/>
    <w:multiLevelType w:val="multilevel"/>
    <w:tmpl w:val="13EA4A34"/>
    <w:lvl w:ilvl="0">
      <w:start w:val="1"/>
      <w:numFmt w:val="decimal"/>
      <w:lvlText w:val="%1."/>
      <w:lvlJc w:val="left"/>
      <w:pPr>
        <w:ind w:left="720" w:hanging="360"/>
      </w:pPr>
      <w:rPr>
        <w:rFonts w:hint="default"/>
        <w:b/>
      </w:rPr>
    </w:lvl>
    <w:lvl w:ilvl="1">
      <w:start w:val="1"/>
      <w:numFmt w:val="decimal"/>
      <w:isLgl/>
      <w:lvlText w:val="%1.%2"/>
      <w:lvlJc w:val="left"/>
      <w:pPr>
        <w:ind w:left="924" w:hanging="564"/>
      </w:pPr>
      <w:rPr>
        <w:rFonts w:hint="default"/>
      </w:rPr>
    </w:lvl>
    <w:lvl w:ilvl="2">
      <w:start w:val="1"/>
      <w:numFmt w:val="decimal"/>
      <w:isLgl/>
      <w:lvlText w:val="%1.%2.%3"/>
      <w:lvlJc w:val="left"/>
      <w:pPr>
        <w:ind w:left="525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645900E5"/>
    <w:multiLevelType w:val="hybridMultilevel"/>
    <w:tmpl w:val="0652F450"/>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1">
    <w:nsid w:val="6A505204"/>
    <w:multiLevelType w:val="hybridMultilevel"/>
    <w:tmpl w:val="F912E8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6CB34D9C"/>
    <w:multiLevelType w:val="multilevel"/>
    <w:tmpl w:val="5F1083B4"/>
    <w:lvl w:ilvl="0">
      <w:numFmt w:val="bullet"/>
      <w:lvlText w:val=""/>
      <w:lvlJc w:val="left"/>
      <w:pPr>
        <w:ind w:left="927" w:hanging="360"/>
      </w:pPr>
      <w:rPr>
        <w:rFonts w:ascii="Symbol" w:hAnsi="Symbol"/>
      </w:rPr>
    </w:lvl>
    <w:lvl w:ilvl="1">
      <w:numFmt w:val="bullet"/>
      <w:lvlText w:val="o"/>
      <w:lvlJc w:val="left"/>
      <w:pPr>
        <w:ind w:left="1647" w:hanging="360"/>
      </w:pPr>
      <w:rPr>
        <w:rFonts w:ascii="Courier New" w:hAnsi="Courier New" w:cs="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cs="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cs="Courier New"/>
      </w:rPr>
    </w:lvl>
    <w:lvl w:ilvl="8">
      <w:numFmt w:val="bullet"/>
      <w:lvlText w:val=""/>
      <w:lvlJc w:val="left"/>
      <w:pPr>
        <w:ind w:left="6687" w:hanging="360"/>
      </w:pPr>
      <w:rPr>
        <w:rFonts w:ascii="Wingdings" w:hAnsi="Wingdings"/>
      </w:rPr>
    </w:lvl>
  </w:abstractNum>
  <w:abstractNum w:abstractNumId="23">
    <w:nsid w:val="78511C15"/>
    <w:multiLevelType w:val="hybridMultilevel"/>
    <w:tmpl w:val="FDAC69C4"/>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4">
    <w:nsid w:val="797C5EA5"/>
    <w:multiLevelType w:val="hybridMultilevel"/>
    <w:tmpl w:val="4684B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BA415FB"/>
    <w:multiLevelType w:val="hybridMultilevel"/>
    <w:tmpl w:val="10641884"/>
    <w:lvl w:ilvl="0" w:tplc="08090001">
      <w:start w:val="1"/>
      <w:numFmt w:val="bullet"/>
      <w:lvlText w:val=""/>
      <w:lvlJc w:val="left"/>
      <w:pPr>
        <w:ind w:left="1218" w:hanging="360"/>
      </w:pPr>
      <w:rPr>
        <w:rFonts w:ascii="Symbol" w:hAnsi="Symbol" w:hint="default"/>
      </w:rPr>
    </w:lvl>
    <w:lvl w:ilvl="1" w:tplc="08090003" w:tentative="1">
      <w:start w:val="1"/>
      <w:numFmt w:val="bullet"/>
      <w:lvlText w:val="o"/>
      <w:lvlJc w:val="left"/>
      <w:pPr>
        <w:ind w:left="1938" w:hanging="360"/>
      </w:pPr>
      <w:rPr>
        <w:rFonts w:ascii="Courier New" w:hAnsi="Courier New" w:cs="Courier New" w:hint="default"/>
      </w:rPr>
    </w:lvl>
    <w:lvl w:ilvl="2" w:tplc="08090005" w:tentative="1">
      <w:start w:val="1"/>
      <w:numFmt w:val="bullet"/>
      <w:lvlText w:val=""/>
      <w:lvlJc w:val="left"/>
      <w:pPr>
        <w:ind w:left="2658" w:hanging="360"/>
      </w:pPr>
      <w:rPr>
        <w:rFonts w:ascii="Wingdings" w:hAnsi="Wingdings" w:hint="default"/>
      </w:rPr>
    </w:lvl>
    <w:lvl w:ilvl="3" w:tplc="08090001" w:tentative="1">
      <w:start w:val="1"/>
      <w:numFmt w:val="bullet"/>
      <w:lvlText w:val=""/>
      <w:lvlJc w:val="left"/>
      <w:pPr>
        <w:ind w:left="3378" w:hanging="360"/>
      </w:pPr>
      <w:rPr>
        <w:rFonts w:ascii="Symbol" w:hAnsi="Symbol" w:hint="default"/>
      </w:rPr>
    </w:lvl>
    <w:lvl w:ilvl="4" w:tplc="08090003" w:tentative="1">
      <w:start w:val="1"/>
      <w:numFmt w:val="bullet"/>
      <w:lvlText w:val="o"/>
      <w:lvlJc w:val="left"/>
      <w:pPr>
        <w:ind w:left="4098" w:hanging="360"/>
      </w:pPr>
      <w:rPr>
        <w:rFonts w:ascii="Courier New" w:hAnsi="Courier New" w:cs="Courier New" w:hint="default"/>
      </w:rPr>
    </w:lvl>
    <w:lvl w:ilvl="5" w:tplc="08090005" w:tentative="1">
      <w:start w:val="1"/>
      <w:numFmt w:val="bullet"/>
      <w:lvlText w:val=""/>
      <w:lvlJc w:val="left"/>
      <w:pPr>
        <w:ind w:left="4818" w:hanging="360"/>
      </w:pPr>
      <w:rPr>
        <w:rFonts w:ascii="Wingdings" w:hAnsi="Wingdings" w:hint="default"/>
      </w:rPr>
    </w:lvl>
    <w:lvl w:ilvl="6" w:tplc="08090001" w:tentative="1">
      <w:start w:val="1"/>
      <w:numFmt w:val="bullet"/>
      <w:lvlText w:val=""/>
      <w:lvlJc w:val="left"/>
      <w:pPr>
        <w:ind w:left="5538" w:hanging="360"/>
      </w:pPr>
      <w:rPr>
        <w:rFonts w:ascii="Symbol" w:hAnsi="Symbol" w:hint="default"/>
      </w:rPr>
    </w:lvl>
    <w:lvl w:ilvl="7" w:tplc="08090003" w:tentative="1">
      <w:start w:val="1"/>
      <w:numFmt w:val="bullet"/>
      <w:lvlText w:val="o"/>
      <w:lvlJc w:val="left"/>
      <w:pPr>
        <w:ind w:left="6258" w:hanging="360"/>
      </w:pPr>
      <w:rPr>
        <w:rFonts w:ascii="Courier New" w:hAnsi="Courier New" w:cs="Courier New" w:hint="default"/>
      </w:rPr>
    </w:lvl>
    <w:lvl w:ilvl="8" w:tplc="08090005" w:tentative="1">
      <w:start w:val="1"/>
      <w:numFmt w:val="bullet"/>
      <w:lvlText w:val=""/>
      <w:lvlJc w:val="left"/>
      <w:pPr>
        <w:ind w:left="6978" w:hanging="360"/>
      </w:pPr>
      <w:rPr>
        <w:rFonts w:ascii="Wingdings" w:hAnsi="Wingdings" w:hint="default"/>
      </w:rPr>
    </w:lvl>
  </w:abstractNum>
  <w:abstractNum w:abstractNumId="26">
    <w:nsid w:val="7C1A43C5"/>
    <w:multiLevelType w:val="multilevel"/>
    <w:tmpl w:val="432A2FEA"/>
    <w:lvl w:ilvl="0">
      <w:numFmt w:val="bullet"/>
      <w:lvlText w:val=""/>
      <w:lvlJc w:val="left"/>
      <w:pPr>
        <w:ind w:left="927" w:hanging="360"/>
      </w:pPr>
      <w:rPr>
        <w:rFonts w:ascii="Symbol" w:hAnsi="Symbol"/>
      </w:rPr>
    </w:lvl>
    <w:lvl w:ilvl="1">
      <w:numFmt w:val="bullet"/>
      <w:lvlText w:val="o"/>
      <w:lvlJc w:val="left"/>
      <w:pPr>
        <w:ind w:left="1647" w:hanging="360"/>
      </w:pPr>
      <w:rPr>
        <w:rFonts w:ascii="Courier New" w:hAnsi="Courier New" w:cs="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cs="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cs="Courier New"/>
      </w:rPr>
    </w:lvl>
    <w:lvl w:ilvl="8">
      <w:numFmt w:val="bullet"/>
      <w:lvlText w:val=""/>
      <w:lvlJc w:val="left"/>
      <w:pPr>
        <w:ind w:left="6687" w:hanging="360"/>
      </w:pPr>
      <w:rPr>
        <w:rFonts w:ascii="Wingdings" w:hAnsi="Wingdings"/>
      </w:rPr>
    </w:lvl>
  </w:abstractNum>
  <w:abstractNum w:abstractNumId="27">
    <w:nsid w:val="7EBA0CE4"/>
    <w:multiLevelType w:val="multilevel"/>
    <w:tmpl w:val="36C215D0"/>
    <w:lvl w:ilvl="0">
      <w:start w:val="1"/>
      <w:numFmt w:val="decimal"/>
      <w:lvlText w:val="%1."/>
      <w:lvlJc w:val="left"/>
      <w:pPr>
        <w:ind w:left="363" w:hanging="360"/>
      </w:pPr>
      <w:rPr>
        <w:rFonts w:hint="default"/>
        <w:b/>
      </w:rPr>
    </w:lvl>
    <w:lvl w:ilvl="1">
      <w:start w:val="1"/>
      <w:numFmt w:val="decimal"/>
      <w:isLgl/>
      <w:lvlText w:val="%1.%2"/>
      <w:lvlJc w:val="left"/>
      <w:pPr>
        <w:ind w:left="567" w:hanging="564"/>
      </w:pPr>
      <w:rPr>
        <w:rFonts w:hint="default"/>
        <w:b w:val="0"/>
      </w:rPr>
    </w:lvl>
    <w:lvl w:ilvl="2">
      <w:start w:val="1"/>
      <w:numFmt w:val="decimal"/>
      <w:isLgl/>
      <w:lvlText w:val="%1.%2.%3"/>
      <w:lvlJc w:val="left"/>
      <w:pPr>
        <w:ind w:left="4900" w:hanging="720"/>
      </w:pPr>
      <w:rPr>
        <w:rFonts w:hint="default"/>
      </w:rPr>
    </w:lvl>
    <w:lvl w:ilvl="3">
      <w:start w:val="1"/>
      <w:numFmt w:val="decimal"/>
      <w:isLgl/>
      <w:lvlText w:val="%1.%2.%3.%4"/>
      <w:lvlJc w:val="left"/>
      <w:pPr>
        <w:ind w:left="1083" w:hanging="1080"/>
      </w:pPr>
      <w:rPr>
        <w:rFonts w:hint="default"/>
      </w:rPr>
    </w:lvl>
    <w:lvl w:ilvl="4">
      <w:start w:val="1"/>
      <w:numFmt w:val="decimal"/>
      <w:isLgl/>
      <w:lvlText w:val="%1.%2.%3.%4.%5"/>
      <w:lvlJc w:val="left"/>
      <w:pPr>
        <w:ind w:left="1083"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3" w:hanging="1440"/>
      </w:pPr>
      <w:rPr>
        <w:rFonts w:hint="default"/>
      </w:rPr>
    </w:lvl>
    <w:lvl w:ilvl="7">
      <w:start w:val="1"/>
      <w:numFmt w:val="decimal"/>
      <w:isLgl/>
      <w:lvlText w:val="%1.%2.%3.%4.%5.%6.%7.%8"/>
      <w:lvlJc w:val="left"/>
      <w:pPr>
        <w:ind w:left="1803" w:hanging="1800"/>
      </w:pPr>
      <w:rPr>
        <w:rFonts w:hint="default"/>
      </w:rPr>
    </w:lvl>
    <w:lvl w:ilvl="8">
      <w:start w:val="1"/>
      <w:numFmt w:val="decimal"/>
      <w:isLgl/>
      <w:lvlText w:val="%1.%2.%3.%4.%5.%6.%7.%8.%9"/>
      <w:lvlJc w:val="left"/>
      <w:pPr>
        <w:ind w:left="1803" w:hanging="1800"/>
      </w:pPr>
      <w:rPr>
        <w:rFonts w:hint="default"/>
      </w:rPr>
    </w:lvl>
  </w:abstractNum>
  <w:num w:numId="1">
    <w:abstractNumId w:val="2"/>
  </w:num>
  <w:num w:numId="2">
    <w:abstractNumId w:val="14"/>
  </w:num>
  <w:num w:numId="3">
    <w:abstractNumId w:val="1"/>
  </w:num>
  <w:num w:numId="4">
    <w:abstractNumId w:val="0"/>
  </w:num>
  <w:num w:numId="5">
    <w:abstractNumId w:val="24"/>
  </w:num>
  <w:num w:numId="6">
    <w:abstractNumId w:val="11"/>
  </w:num>
  <w:num w:numId="7">
    <w:abstractNumId w:val="13"/>
  </w:num>
  <w:num w:numId="8">
    <w:abstractNumId w:val="7"/>
  </w:num>
  <w:num w:numId="9">
    <w:abstractNumId w:val="10"/>
  </w:num>
  <w:num w:numId="10">
    <w:abstractNumId w:val="18"/>
  </w:num>
  <w:num w:numId="11">
    <w:abstractNumId w:val="21"/>
  </w:num>
  <w:num w:numId="12">
    <w:abstractNumId w:val="5"/>
  </w:num>
  <w:num w:numId="13">
    <w:abstractNumId w:val="25"/>
  </w:num>
  <w:num w:numId="14">
    <w:abstractNumId w:val="4"/>
  </w:num>
  <w:num w:numId="15">
    <w:abstractNumId w:val="8"/>
  </w:num>
  <w:num w:numId="16">
    <w:abstractNumId w:val="3"/>
  </w:num>
  <w:num w:numId="17">
    <w:abstractNumId w:val="16"/>
  </w:num>
  <w:num w:numId="18">
    <w:abstractNumId w:val="19"/>
  </w:num>
  <w:num w:numId="19">
    <w:abstractNumId w:val="12"/>
  </w:num>
  <w:num w:numId="20">
    <w:abstractNumId w:val="15"/>
  </w:num>
  <w:num w:numId="21">
    <w:abstractNumId w:val="27"/>
  </w:num>
  <w:num w:numId="22">
    <w:abstractNumId w:val="22"/>
  </w:num>
  <w:num w:numId="23">
    <w:abstractNumId w:val="26"/>
  </w:num>
  <w:num w:numId="24">
    <w:abstractNumId w:val="9"/>
  </w:num>
  <w:num w:numId="25">
    <w:abstractNumId w:val="17"/>
  </w:num>
  <w:num w:numId="26">
    <w:abstractNumId w:val="20"/>
  </w:num>
  <w:num w:numId="27">
    <w:abstractNumId w:val="23"/>
  </w:num>
  <w:num w:numId="28">
    <w:abstractNumId w:val="6"/>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04D"/>
    <w:rsid w:val="00003D55"/>
    <w:rsid w:val="000057F3"/>
    <w:rsid w:val="00010E3A"/>
    <w:rsid w:val="00014382"/>
    <w:rsid w:val="0001752D"/>
    <w:rsid w:val="00022579"/>
    <w:rsid w:val="00031660"/>
    <w:rsid w:val="000316F2"/>
    <w:rsid w:val="00033804"/>
    <w:rsid w:val="00035B94"/>
    <w:rsid w:val="0003798C"/>
    <w:rsid w:val="00040B9A"/>
    <w:rsid w:val="00040FF3"/>
    <w:rsid w:val="00042061"/>
    <w:rsid w:val="000428C7"/>
    <w:rsid w:val="000447F9"/>
    <w:rsid w:val="0005274E"/>
    <w:rsid w:val="00061996"/>
    <w:rsid w:val="00061FAE"/>
    <w:rsid w:val="00062A78"/>
    <w:rsid w:val="00070021"/>
    <w:rsid w:val="00071C26"/>
    <w:rsid w:val="0007660C"/>
    <w:rsid w:val="0008229F"/>
    <w:rsid w:val="00082DD5"/>
    <w:rsid w:val="00086962"/>
    <w:rsid w:val="00086A57"/>
    <w:rsid w:val="00087577"/>
    <w:rsid w:val="00087CB0"/>
    <w:rsid w:val="00091E7A"/>
    <w:rsid w:val="00091F1F"/>
    <w:rsid w:val="00093B11"/>
    <w:rsid w:val="000A4412"/>
    <w:rsid w:val="000A7DFC"/>
    <w:rsid w:val="000B4A6C"/>
    <w:rsid w:val="000B4F67"/>
    <w:rsid w:val="000B742C"/>
    <w:rsid w:val="000C7424"/>
    <w:rsid w:val="000C7782"/>
    <w:rsid w:val="000D4825"/>
    <w:rsid w:val="000D4B6D"/>
    <w:rsid w:val="000D6A06"/>
    <w:rsid w:val="000F10AB"/>
    <w:rsid w:val="000F61B4"/>
    <w:rsid w:val="000F74B9"/>
    <w:rsid w:val="001008CD"/>
    <w:rsid w:val="00105033"/>
    <w:rsid w:val="00111E87"/>
    <w:rsid w:val="00114225"/>
    <w:rsid w:val="0013607B"/>
    <w:rsid w:val="001377F7"/>
    <w:rsid w:val="0014145F"/>
    <w:rsid w:val="001429E0"/>
    <w:rsid w:val="00146269"/>
    <w:rsid w:val="0015022B"/>
    <w:rsid w:val="001519FC"/>
    <w:rsid w:val="00154BAF"/>
    <w:rsid w:val="00154FEC"/>
    <w:rsid w:val="00156AC8"/>
    <w:rsid w:val="001578C6"/>
    <w:rsid w:val="00160BF7"/>
    <w:rsid w:val="00166727"/>
    <w:rsid w:val="00174BCF"/>
    <w:rsid w:val="00182786"/>
    <w:rsid w:val="001827F0"/>
    <w:rsid w:val="00182D16"/>
    <w:rsid w:val="001846BE"/>
    <w:rsid w:val="00193DF0"/>
    <w:rsid w:val="001952FA"/>
    <w:rsid w:val="0019670A"/>
    <w:rsid w:val="001A1965"/>
    <w:rsid w:val="001A1EB1"/>
    <w:rsid w:val="001A57A1"/>
    <w:rsid w:val="001A5C29"/>
    <w:rsid w:val="001B1003"/>
    <w:rsid w:val="001B1CC0"/>
    <w:rsid w:val="001C0073"/>
    <w:rsid w:val="001C4666"/>
    <w:rsid w:val="001D0BCA"/>
    <w:rsid w:val="001D0D64"/>
    <w:rsid w:val="001D32A3"/>
    <w:rsid w:val="001E0936"/>
    <w:rsid w:val="001E55C9"/>
    <w:rsid w:val="001E7E2F"/>
    <w:rsid w:val="001F465A"/>
    <w:rsid w:val="001F4F50"/>
    <w:rsid w:val="001F5791"/>
    <w:rsid w:val="001F726C"/>
    <w:rsid w:val="002023D8"/>
    <w:rsid w:val="00214178"/>
    <w:rsid w:val="002145D1"/>
    <w:rsid w:val="00221C3F"/>
    <w:rsid w:val="00223BA2"/>
    <w:rsid w:val="002254B0"/>
    <w:rsid w:val="00236B02"/>
    <w:rsid w:val="0024083D"/>
    <w:rsid w:val="00241047"/>
    <w:rsid w:val="00243B77"/>
    <w:rsid w:val="00245D7C"/>
    <w:rsid w:val="00247559"/>
    <w:rsid w:val="002548D4"/>
    <w:rsid w:val="002619DC"/>
    <w:rsid w:val="00263A51"/>
    <w:rsid w:val="0026633E"/>
    <w:rsid w:val="00271A87"/>
    <w:rsid w:val="002806A6"/>
    <w:rsid w:val="0028319C"/>
    <w:rsid w:val="00284D8E"/>
    <w:rsid w:val="0028509C"/>
    <w:rsid w:val="002915E6"/>
    <w:rsid w:val="00295193"/>
    <w:rsid w:val="002A0E78"/>
    <w:rsid w:val="002A116C"/>
    <w:rsid w:val="002A4049"/>
    <w:rsid w:val="002A42F4"/>
    <w:rsid w:val="002A5416"/>
    <w:rsid w:val="002B2ED2"/>
    <w:rsid w:val="002B6B6E"/>
    <w:rsid w:val="002B7170"/>
    <w:rsid w:val="002D4293"/>
    <w:rsid w:val="002D4472"/>
    <w:rsid w:val="002E4E12"/>
    <w:rsid w:val="002E721E"/>
    <w:rsid w:val="002F447F"/>
    <w:rsid w:val="002F4EAC"/>
    <w:rsid w:val="003027FE"/>
    <w:rsid w:val="00311E7F"/>
    <w:rsid w:val="00313F09"/>
    <w:rsid w:val="003154D6"/>
    <w:rsid w:val="00320A95"/>
    <w:rsid w:val="00327951"/>
    <w:rsid w:val="003314C1"/>
    <w:rsid w:val="00335698"/>
    <w:rsid w:val="00335B2C"/>
    <w:rsid w:val="00337B23"/>
    <w:rsid w:val="00346B60"/>
    <w:rsid w:val="00351E13"/>
    <w:rsid w:val="003670D9"/>
    <w:rsid w:val="00367CB5"/>
    <w:rsid w:val="00370BB4"/>
    <w:rsid w:val="00371085"/>
    <w:rsid w:val="003713A3"/>
    <w:rsid w:val="00381C3B"/>
    <w:rsid w:val="00383696"/>
    <w:rsid w:val="00387035"/>
    <w:rsid w:val="00387867"/>
    <w:rsid w:val="00387DA2"/>
    <w:rsid w:val="00387FF7"/>
    <w:rsid w:val="00391392"/>
    <w:rsid w:val="00391D51"/>
    <w:rsid w:val="003951CF"/>
    <w:rsid w:val="003971B2"/>
    <w:rsid w:val="003A39B8"/>
    <w:rsid w:val="003A4793"/>
    <w:rsid w:val="003A531F"/>
    <w:rsid w:val="003A69A2"/>
    <w:rsid w:val="003B073F"/>
    <w:rsid w:val="003B0BB1"/>
    <w:rsid w:val="003B1980"/>
    <w:rsid w:val="003B1B59"/>
    <w:rsid w:val="003B7269"/>
    <w:rsid w:val="003C5948"/>
    <w:rsid w:val="003D0C1F"/>
    <w:rsid w:val="003D7C2D"/>
    <w:rsid w:val="003E2138"/>
    <w:rsid w:val="003E5578"/>
    <w:rsid w:val="003F3EA6"/>
    <w:rsid w:val="003F4956"/>
    <w:rsid w:val="00413094"/>
    <w:rsid w:val="00417513"/>
    <w:rsid w:val="00433A03"/>
    <w:rsid w:val="00433C1D"/>
    <w:rsid w:val="00435313"/>
    <w:rsid w:val="004356D2"/>
    <w:rsid w:val="004442C0"/>
    <w:rsid w:val="00447728"/>
    <w:rsid w:val="0045507C"/>
    <w:rsid w:val="00455758"/>
    <w:rsid w:val="00461095"/>
    <w:rsid w:val="00465BE6"/>
    <w:rsid w:val="00465C76"/>
    <w:rsid w:val="004702EC"/>
    <w:rsid w:val="00474B5F"/>
    <w:rsid w:val="00475231"/>
    <w:rsid w:val="00477D40"/>
    <w:rsid w:val="00487AE7"/>
    <w:rsid w:val="00492B82"/>
    <w:rsid w:val="00492FDD"/>
    <w:rsid w:val="004933BE"/>
    <w:rsid w:val="00496368"/>
    <w:rsid w:val="004B27B7"/>
    <w:rsid w:val="004C286D"/>
    <w:rsid w:val="004C4F42"/>
    <w:rsid w:val="004D4A3D"/>
    <w:rsid w:val="004D509B"/>
    <w:rsid w:val="004D5A9B"/>
    <w:rsid w:val="004E2616"/>
    <w:rsid w:val="004E3DF1"/>
    <w:rsid w:val="004F3B3D"/>
    <w:rsid w:val="0050360F"/>
    <w:rsid w:val="0050656A"/>
    <w:rsid w:val="00520137"/>
    <w:rsid w:val="00520283"/>
    <w:rsid w:val="00521872"/>
    <w:rsid w:val="00524AC4"/>
    <w:rsid w:val="00527672"/>
    <w:rsid w:val="005354DB"/>
    <w:rsid w:val="005358D2"/>
    <w:rsid w:val="00536078"/>
    <w:rsid w:val="00537B8B"/>
    <w:rsid w:val="00551E7C"/>
    <w:rsid w:val="005522FD"/>
    <w:rsid w:val="00561AB6"/>
    <w:rsid w:val="00566548"/>
    <w:rsid w:val="00566912"/>
    <w:rsid w:val="005711D6"/>
    <w:rsid w:val="00573436"/>
    <w:rsid w:val="005738DC"/>
    <w:rsid w:val="00575BC6"/>
    <w:rsid w:val="005766BB"/>
    <w:rsid w:val="005773B7"/>
    <w:rsid w:val="00580EE1"/>
    <w:rsid w:val="00581F72"/>
    <w:rsid w:val="00584A18"/>
    <w:rsid w:val="005975D2"/>
    <w:rsid w:val="005A48A2"/>
    <w:rsid w:val="005A5C3C"/>
    <w:rsid w:val="005B5098"/>
    <w:rsid w:val="005C09C4"/>
    <w:rsid w:val="005C42DC"/>
    <w:rsid w:val="005C5A04"/>
    <w:rsid w:val="005E09DB"/>
    <w:rsid w:val="005E4E57"/>
    <w:rsid w:val="005E5127"/>
    <w:rsid w:val="005F061D"/>
    <w:rsid w:val="005F28C5"/>
    <w:rsid w:val="005F4E29"/>
    <w:rsid w:val="005F6560"/>
    <w:rsid w:val="006014B8"/>
    <w:rsid w:val="00604D25"/>
    <w:rsid w:val="00606BAC"/>
    <w:rsid w:val="00607084"/>
    <w:rsid w:val="00610B38"/>
    <w:rsid w:val="0061736A"/>
    <w:rsid w:val="006208A7"/>
    <w:rsid w:val="00622A3C"/>
    <w:rsid w:val="00627C45"/>
    <w:rsid w:val="00631997"/>
    <w:rsid w:val="0063448F"/>
    <w:rsid w:val="006374BA"/>
    <w:rsid w:val="0064059E"/>
    <w:rsid w:val="00640F2C"/>
    <w:rsid w:val="006417B8"/>
    <w:rsid w:val="00642621"/>
    <w:rsid w:val="00644CAA"/>
    <w:rsid w:val="00644FEC"/>
    <w:rsid w:val="0064580F"/>
    <w:rsid w:val="00650631"/>
    <w:rsid w:val="00651F8F"/>
    <w:rsid w:val="00662A77"/>
    <w:rsid w:val="00664C6B"/>
    <w:rsid w:val="00673984"/>
    <w:rsid w:val="00681E96"/>
    <w:rsid w:val="00681F9D"/>
    <w:rsid w:val="0068222B"/>
    <w:rsid w:val="00682341"/>
    <w:rsid w:val="00683F3E"/>
    <w:rsid w:val="00686498"/>
    <w:rsid w:val="00690FE6"/>
    <w:rsid w:val="006926AE"/>
    <w:rsid w:val="006948E2"/>
    <w:rsid w:val="00694C71"/>
    <w:rsid w:val="00695F2C"/>
    <w:rsid w:val="006A3212"/>
    <w:rsid w:val="006B04C6"/>
    <w:rsid w:val="006B05C2"/>
    <w:rsid w:val="006B2A51"/>
    <w:rsid w:val="006B7F12"/>
    <w:rsid w:val="006C748F"/>
    <w:rsid w:val="006D0E65"/>
    <w:rsid w:val="006D1389"/>
    <w:rsid w:val="006D7CC2"/>
    <w:rsid w:val="006E1AC7"/>
    <w:rsid w:val="006E3F73"/>
    <w:rsid w:val="006E41F5"/>
    <w:rsid w:val="006E7883"/>
    <w:rsid w:val="006F29F8"/>
    <w:rsid w:val="007000FE"/>
    <w:rsid w:val="0070506F"/>
    <w:rsid w:val="0070595C"/>
    <w:rsid w:val="00711810"/>
    <w:rsid w:val="00715FD3"/>
    <w:rsid w:val="00724F21"/>
    <w:rsid w:val="00727785"/>
    <w:rsid w:val="00731105"/>
    <w:rsid w:val="00735C62"/>
    <w:rsid w:val="00735ECF"/>
    <w:rsid w:val="00742E32"/>
    <w:rsid w:val="00743297"/>
    <w:rsid w:val="00744F25"/>
    <w:rsid w:val="00745139"/>
    <w:rsid w:val="00755130"/>
    <w:rsid w:val="00765326"/>
    <w:rsid w:val="00767399"/>
    <w:rsid w:val="00770DBA"/>
    <w:rsid w:val="00770F9A"/>
    <w:rsid w:val="0077204E"/>
    <w:rsid w:val="0077578E"/>
    <w:rsid w:val="007764E5"/>
    <w:rsid w:val="0078431C"/>
    <w:rsid w:val="0078503C"/>
    <w:rsid w:val="00786734"/>
    <w:rsid w:val="0079128D"/>
    <w:rsid w:val="00793D7F"/>
    <w:rsid w:val="00796D74"/>
    <w:rsid w:val="007A0D04"/>
    <w:rsid w:val="007A5BF8"/>
    <w:rsid w:val="007B410B"/>
    <w:rsid w:val="007B5328"/>
    <w:rsid w:val="007B552F"/>
    <w:rsid w:val="007B6DA8"/>
    <w:rsid w:val="007C085F"/>
    <w:rsid w:val="007C0CAC"/>
    <w:rsid w:val="007C5521"/>
    <w:rsid w:val="007D262B"/>
    <w:rsid w:val="007D2948"/>
    <w:rsid w:val="007D297A"/>
    <w:rsid w:val="007D33CB"/>
    <w:rsid w:val="007D3492"/>
    <w:rsid w:val="007D58FB"/>
    <w:rsid w:val="007E1592"/>
    <w:rsid w:val="007E2E68"/>
    <w:rsid w:val="007E39A5"/>
    <w:rsid w:val="007E3AEA"/>
    <w:rsid w:val="007E42DC"/>
    <w:rsid w:val="007F22A6"/>
    <w:rsid w:val="007F3BBE"/>
    <w:rsid w:val="007F4C55"/>
    <w:rsid w:val="007F5148"/>
    <w:rsid w:val="00804017"/>
    <w:rsid w:val="00817E10"/>
    <w:rsid w:val="00817EB0"/>
    <w:rsid w:val="00821779"/>
    <w:rsid w:val="00825359"/>
    <w:rsid w:val="008319B8"/>
    <w:rsid w:val="00833297"/>
    <w:rsid w:val="00834B9C"/>
    <w:rsid w:val="00835077"/>
    <w:rsid w:val="008370AB"/>
    <w:rsid w:val="00841B34"/>
    <w:rsid w:val="00857E95"/>
    <w:rsid w:val="00870BE2"/>
    <w:rsid w:val="00874C65"/>
    <w:rsid w:val="00886618"/>
    <w:rsid w:val="00886C13"/>
    <w:rsid w:val="008873F5"/>
    <w:rsid w:val="008932CF"/>
    <w:rsid w:val="00893E8C"/>
    <w:rsid w:val="008942C4"/>
    <w:rsid w:val="008A2454"/>
    <w:rsid w:val="008A33D9"/>
    <w:rsid w:val="008A483D"/>
    <w:rsid w:val="008A4D52"/>
    <w:rsid w:val="008B21EA"/>
    <w:rsid w:val="008B53BD"/>
    <w:rsid w:val="008C0A8E"/>
    <w:rsid w:val="008C0C62"/>
    <w:rsid w:val="008C110B"/>
    <w:rsid w:val="008C2982"/>
    <w:rsid w:val="008C6714"/>
    <w:rsid w:val="008D10E5"/>
    <w:rsid w:val="008D1ABC"/>
    <w:rsid w:val="008D1E11"/>
    <w:rsid w:val="008D7098"/>
    <w:rsid w:val="008E011B"/>
    <w:rsid w:val="008E3A98"/>
    <w:rsid w:val="008E3AFC"/>
    <w:rsid w:val="008F75AA"/>
    <w:rsid w:val="0090275A"/>
    <w:rsid w:val="0090554C"/>
    <w:rsid w:val="009109F5"/>
    <w:rsid w:val="009143A3"/>
    <w:rsid w:val="00915CD8"/>
    <w:rsid w:val="009219BC"/>
    <w:rsid w:val="00926D64"/>
    <w:rsid w:val="0092747C"/>
    <w:rsid w:val="00931804"/>
    <w:rsid w:val="00935B1D"/>
    <w:rsid w:val="00936F68"/>
    <w:rsid w:val="00940C35"/>
    <w:rsid w:val="00943A01"/>
    <w:rsid w:val="00946F28"/>
    <w:rsid w:val="0094734A"/>
    <w:rsid w:val="0094746F"/>
    <w:rsid w:val="00951A58"/>
    <w:rsid w:val="00956140"/>
    <w:rsid w:val="00956766"/>
    <w:rsid w:val="0095774D"/>
    <w:rsid w:val="00960F21"/>
    <w:rsid w:val="00962C06"/>
    <w:rsid w:val="00964787"/>
    <w:rsid w:val="0096685C"/>
    <w:rsid w:val="00966C47"/>
    <w:rsid w:val="0097639E"/>
    <w:rsid w:val="009810B0"/>
    <w:rsid w:val="00981368"/>
    <w:rsid w:val="00982A0C"/>
    <w:rsid w:val="00982F84"/>
    <w:rsid w:val="00993022"/>
    <w:rsid w:val="00993E05"/>
    <w:rsid w:val="00997E26"/>
    <w:rsid w:val="009B0371"/>
    <w:rsid w:val="009B7D20"/>
    <w:rsid w:val="009D4B97"/>
    <w:rsid w:val="009E258C"/>
    <w:rsid w:val="009E46A1"/>
    <w:rsid w:val="009F452B"/>
    <w:rsid w:val="009F6D7C"/>
    <w:rsid w:val="009F7C35"/>
    <w:rsid w:val="00A07234"/>
    <w:rsid w:val="00A11371"/>
    <w:rsid w:val="00A124D8"/>
    <w:rsid w:val="00A145EA"/>
    <w:rsid w:val="00A149DF"/>
    <w:rsid w:val="00A200C4"/>
    <w:rsid w:val="00A213A0"/>
    <w:rsid w:val="00A21D17"/>
    <w:rsid w:val="00A21EFC"/>
    <w:rsid w:val="00A30960"/>
    <w:rsid w:val="00A30D5B"/>
    <w:rsid w:val="00A34832"/>
    <w:rsid w:val="00A34C77"/>
    <w:rsid w:val="00A36D00"/>
    <w:rsid w:val="00A400B6"/>
    <w:rsid w:val="00A4298E"/>
    <w:rsid w:val="00A42F7C"/>
    <w:rsid w:val="00A4592D"/>
    <w:rsid w:val="00A459A4"/>
    <w:rsid w:val="00A45EE0"/>
    <w:rsid w:val="00A473CD"/>
    <w:rsid w:val="00A51926"/>
    <w:rsid w:val="00A54777"/>
    <w:rsid w:val="00A547D0"/>
    <w:rsid w:val="00A54C9C"/>
    <w:rsid w:val="00A56FEE"/>
    <w:rsid w:val="00A57755"/>
    <w:rsid w:val="00A64792"/>
    <w:rsid w:val="00A66EAB"/>
    <w:rsid w:val="00A66FA8"/>
    <w:rsid w:val="00A702EB"/>
    <w:rsid w:val="00A7114E"/>
    <w:rsid w:val="00A77CC8"/>
    <w:rsid w:val="00A8087B"/>
    <w:rsid w:val="00A80AD2"/>
    <w:rsid w:val="00A81544"/>
    <w:rsid w:val="00A818F2"/>
    <w:rsid w:val="00A84647"/>
    <w:rsid w:val="00A85150"/>
    <w:rsid w:val="00A860A6"/>
    <w:rsid w:val="00A93B08"/>
    <w:rsid w:val="00AA516E"/>
    <w:rsid w:val="00AA67F8"/>
    <w:rsid w:val="00AB6199"/>
    <w:rsid w:val="00AC32E5"/>
    <w:rsid w:val="00AD14B8"/>
    <w:rsid w:val="00AD4948"/>
    <w:rsid w:val="00AD54EA"/>
    <w:rsid w:val="00AE0BA1"/>
    <w:rsid w:val="00AE7C4A"/>
    <w:rsid w:val="00AF1B97"/>
    <w:rsid w:val="00AF4B6F"/>
    <w:rsid w:val="00B00E35"/>
    <w:rsid w:val="00B01C1A"/>
    <w:rsid w:val="00B032F9"/>
    <w:rsid w:val="00B04683"/>
    <w:rsid w:val="00B0482A"/>
    <w:rsid w:val="00B0641F"/>
    <w:rsid w:val="00B2372B"/>
    <w:rsid w:val="00B314E6"/>
    <w:rsid w:val="00B31AE3"/>
    <w:rsid w:val="00B402E7"/>
    <w:rsid w:val="00B40949"/>
    <w:rsid w:val="00B42745"/>
    <w:rsid w:val="00B45F41"/>
    <w:rsid w:val="00B46FE9"/>
    <w:rsid w:val="00B52D56"/>
    <w:rsid w:val="00B54C1F"/>
    <w:rsid w:val="00B55002"/>
    <w:rsid w:val="00B55A29"/>
    <w:rsid w:val="00B55BEB"/>
    <w:rsid w:val="00B617AD"/>
    <w:rsid w:val="00B62919"/>
    <w:rsid w:val="00B65511"/>
    <w:rsid w:val="00B72DA1"/>
    <w:rsid w:val="00B747EE"/>
    <w:rsid w:val="00B7658A"/>
    <w:rsid w:val="00B81011"/>
    <w:rsid w:val="00B862B1"/>
    <w:rsid w:val="00B866A1"/>
    <w:rsid w:val="00B86B6D"/>
    <w:rsid w:val="00B9404D"/>
    <w:rsid w:val="00BA3B16"/>
    <w:rsid w:val="00BB2858"/>
    <w:rsid w:val="00BB4883"/>
    <w:rsid w:val="00BB6BD8"/>
    <w:rsid w:val="00BC098D"/>
    <w:rsid w:val="00BD15F9"/>
    <w:rsid w:val="00BE124A"/>
    <w:rsid w:val="00BE17CF"/>
    <w:rsid w:val="00BE4429"/>
    <w:rsid w:val="00BF1EF0"/>
    <w:rsid w:val="00C0527B"/>
    <w:rsid w:val="00C07194"/>
    <w:rsid w:val="00C07A3A"/>
    <w:rsid w:val="00C1037D"/>
    <w:rsid w:val="00C11736"/>
    <w:rsid w:val="00C229B9"/>
    <w:rsid w:val="00C26726"/>
    <w:rsid w:val="00C30115"/>
    <w:rsid w:val="00C3416D"/>
    <w:rsid w:val="00C37A92"/>
    <w:rsid w:val="00C42D15"/>
    <w:rsid w:val="00C431C5"/>
    <w:rsid w:val="00C46351"/>
    <w:rsid w:val="00C47450"/>
    <w:rsid w:val="00C47F53"/>
    <w:rsid w:val="00C519B0"/>
    <w:rsid w:val="00C52FE0"/>
    <w:rsid w:val="00C61B93"/>
    <w:rsid w:val="00C6230A"/>
    <w:rsid w:val="00C67436"/>
    <w:rsid w:val="00C7501B"/>
    <w:rsid w:val="00C81378"/>
    <w:rsid w:val="00C82F3A"/>
    <w:rsid w:val="00C8513F"/>
    <w:rsid w:val="00C873AC"/>
    <w:rsid w:val="00C92D98"/>
    <w:rsid w:val="00C95E18"/>
    <w:rsid w:val="00C96E67"/>
    <w:rsid w:val="00C974D4"/>
    <w:rsid w:val="00CA17B9"/>
    <w:rsid w:val="00CA22D0"/>
    <w:rsid w:val="00CA2E13"/>
    <w:rsid w:val="00CA4560"/>
    <w:rsid w:val="00CA73F4"/>
    <w:rsid w:val="00CB138C"/>
    <w:rsid w:val="00CB4CFB"/>
    <w:rsid w:val="00CB5EB3"/>
    <w:rsid w:val="00CC2625"/>
    <w:rsid w:val="00CC6B9A"/>
    <w:rsid w:val="00CC75DB"/>
    <w:rsid w:val="00CD1B47"/>
    <w:rsid w:val="00CD3C97"/>
    <w:rsid w:val="00CD4E49"/>
    <w:rsid w:val="00CE409D"/>
    <w:rsid w:val="00CF3E40"/>
    <w:rsid w:val="00CF428D"/>
    <w:rsid w:val="00D002C3"/>
    <w:rsid w:val="00D04A29"/>
    <w:rsid w:val="00D0539C"/>
    <w:rsid w:val="00D1190C"/>
    <w:rsid w:val="00D12974"/>
    <w:rsid w:val="00D12B56"/>
    <w:rsid w:val="00D131E4"/>
    <w:rsid w:val="00D15245"/>
    <w:rsid w:val="00D16769"/>
    <w:rsid w:val="00D21B84"/>
    <w:rsid w:val="00D22715"/>
    <w:rsid w:val="00D4376A"/>
    <w:rsid w:val="00D457A8"/>
    <w:rsid w:val="00D4632E"/>
    <w:rsid w:val="00D475D5"/>
    <w:rsid w:val="00D53807"/>
    <w:rsid w:val="00D54934"/>
    <w:rsid w:val="00D63BDB"/>
    <w:rsid w:val="00D6497B"/>
    <w:rsid w:val="00D64D26"/>
    <w:rsid w:val="00D70CCF"/>
    <w:rsid w:val="00D73C01"/>
    <w:rsid w:val="00D8098A"/>
    <w:rsid w:val="00D860A9"/>
    <w:rsid w:val="00D90C28"/>
    <w:rsid w:val="00D92060"/>
    <w:rsid w:val="00D9462C"/>
    <w:rsid w:val="00D94FC8"/>
    <w:rsid w:val="00D9676A"/>
    <w:rsid w:val="00DA0036"/>
    <w:rsid w:val="00DA3686"/>
    <w:rsid w:val="00DB00B4"/>
    <w:rsid w:val="00DC418D"/>
    <w:rsid w:val="00DC4393"/>
    <w:rsid w:val="00DC616B"/>
    <w:rsid w:val="00DC7D4A"/>
    <w:rsid w:val="00DC7E05"/>
    <w:rsid w:val="00DD05EE"/>
    <w:rsid w:val="00DD25C6"/>
    <w:rsid w:val="00DD62C8"/>
    <w:rsid w:val="00DE789D"/>
    <w:rsid w:val="00DF0183"/>
    <w:rsid w:val="00DF03D9"/>
    <w:rsid w:val="00DF69F4"/>
    <w:rsid w:val="00E007B0"/>
    <w:rsid w:val="00E01741"/>
    <w:rsid w:val="00E02B41"/>
    <w:rsid w:val="00E139FC"/>
    <w:rsid w:val="00E17BD1"/>
    <w:rsid w:val="00E20954"/>
    <w:rsid w:val="00E21B78"/>
    <w:rsid w:val="00E257AA"/>
    <w:rsid w:val="00E30990"/>
    <w:rsid w:val="00E36E84"/>
    <w:rsid w:val="00E42F7E"/>
    <w:rsid w:val="00E53BE1"/>
    <w:rsid w:val="00E559E9"/>
    <w:rsid w:val="00E63A06"/>
    <w:rsid w:val="00E66E8E"/>
    <w:rsid w:val="00E73C02"/>
    <w:rsid w:val="00E75774"/>
    <w:rsid w:val="00E75EC7"/>
    <w:rsid w:val="00E76D63"/>
    <w:rsid w:val="00E82808"/>
    <w:rsid w:val="00E836A3"/>
    <w:rsid w:val="00E84D93"/>
    <w:rsid w:val="00E84E63"/>
    <w:rsid w:val="00E8791E"/>
    <w:rsid w:val="00EA1449"/>
    <w:rsid w:val="00EA4D7F"/>
    <w:rsid w:val="00EA7062"/>
    <w:rsid w:val="00EB047B"/>
    <w:rsid w:val="00EB2729"/>
    <w:rsid w:val="00EB5F53"/>
    <w:rsid w:val="00EC68CE"/>
    <w:rsid w:val="00EC788E"/>
    <w:rsid w:val="00EE1AEF"/>
    <w:rsid w:val="00EE2012"/>
    <w:rsid w:val="00EE30CC"/>
    <w:rsid w:val="00EF74C9"/>
    <w:rsid w:val="00F010FC"/>
    <w:rsid w:val="00F013B7"/>
    <w:rsid w:val="00F02E21"/>
    <w:rsid w:val="00F10800"/>
    <w:rsid w:val="00F12068"/>
    <w:rsid w:val="00F1488B"/>
    <w:rsid w:val="00F15706"/>
    <w:rsid w:val="00F17B09"/>
    <w:rsid w:val="00F17D7E"/>
    <w:rsid w:val="00F254DB"/>
    <w:rsid w:val="00F328C4"/>
    <w:rsid w:val="00F42CBA"/>
    <w:rsid w:val="00F51F28"/>
    <w:rsid w:val="00F56114"/>
    <w:rsid w:val="00F61EA6"/>
    <w:rsid w:val="00F62C7D"/>
    <w:rsid w:val="00F70CF6"/>
    <w:rsid w:val="00F71307"/>
    <w:rsid w:val="00F71D8C"/>
    <w:rsid w:val="00F7200F"/>
    <w:rsid w:val="00F76881"/>
    <w:rsid w:val="00F823A0"/>
    <w:rsid w:val="00F833BF"/>
    <w:rsid w:val="00F834F1"/>
    <w:rsid w:val="00F836D5"/>
    <w:rsid w:val="00F84109"/>
    <w:rsid w:val="00F84814"/>
    <w:rsid w:val="00F84F8F"/>
    <w:rsid w:val="00F948BD"/>
    <w:rsid w:val="00F94F74"/>
    <w:rsid w:val="00FA2FE9"/>
    <w:rsid w:val="00FA3E5A"/>
    <w:rsid w:val="00FA636A"/>
    <w:rsid w:val="00FA6C67"/>
    <w:rsid w:val="00FB192F"/>
    <w:rsid w:val="00FB5146"/>
    <w:rsid w:val="00FC06AF"/>
    <w:rsid w:val="00FC195A"/>
    <w:rsid w:val="00FC7DFF"/>
    <w:rsid w:val="00FC7F21"/>
    <w:rsid w:val="00FD17AD"/>
    <w:rsid w:val="00FE193E"/>
    <w:rsid w:val="00FE426F"/>
    <w:rsid w:val="00FE46F2"/>
    <w:rsid w:val="00FF3D4B"/>
    <w:rsid w:val="00FF3F23"/>
    <w:rsid w:val="00FF5229"/>
    <w:rsid w:val="00FF5D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F72"/>
    <w:pPr>
      <w:ind w:left="720"/>
      <w:contextualSpacing/>
    </w:pPr>
  </w:style>
  <w:style w:type="paragraph" w:styleId="FootnoteText">
    <w:name w:val="footnote text"/>
    <w:basedOn w:val="Normal"/>
    <w:link w:val="FootnoteTextChar"/>
    <w:uiPriority w:val="99"/>
    <w:semiHidden/>
    <w:unhideWhenUsed/>
    <w:rsid w:val="0053607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6078"/>
    <w:rPr>
      <w:sz w:val="20"/>
      <w:szCs w:val="20"/>
    </w:rPr>
  </w:style>
  <w:style w:type="character" w:styleId="FootnoteReference">
    <w:name w:val="footnote reference"/>
    <w:basedOn w:val="DefaultParagraphFont"/>
    <w:uiPriority w:val="99"/>
    <w:semiHidden/>
    <w:unhideWhenUsed/>
    <w:rsid w:val="00536078"/>
    <w:rPr>
      <w:vertAlign w:val="superscript"/>
    </w:rPr>
  </w:style>
  <w:style w:type="character" w:styleId="Hyperlink">
    <w:name w:val="Hyperlink"/>
    <w:basedOn w:val="DefaultParagraphFont"/>
    <w:uiPriority w:val="99"/>
    <w:semiHidden/>
    <w:unhideWhenUsed/>
    <w:rsid w:val="00F7200F"/>
    <w:rPr>
      <w:color w:val="0000FF"/>
      <w:u w:val="single"/>
    </w:rPr>
  </w:style>
  <w:style w:type="paragraph" w:styleId="Header">
    <w:name w:val="header"/>
    <w:basedOn w:val="Normal"/>
    <w:link w:val="HeaderChar"/>
    <w:uiPriority w:val="99"/>
    <w:unhideWhenUsed/>
    <w:rsid w:val="00FB19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192F"/>
  </w:style>
  <w:style w:type="paragraph" w:styleId="Footer">
    <w:name w:val="footer"/>
    <w:basedOn w:val="Normal"/>
    <w:link w:val="FooterChar"/>
    <w:uiPriority w:val="99"/>
    <w:unhideWhenUsed/>
    <w:rsid w:val="00FB19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192F"/>
  </w:style>
  <w:style w:type="paragraph" w:customStyle="1" w:styleId="Default">
    <w:name w:val="Default"/>
    <w:rsid w:val="0068222B"/>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962C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11">
    <w:name w:val="Grid Table 2 - Accent 11"/>
    <w:basedOn w:val="TableNormal"/>
    <w:uiPriority w:val="47"/>
    <w:rsid w:val="00962C06"/>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11">
    <w:name w:val="List Table 2 - Accent 11"/>
    <w:basedOn w:val="TableNormal"/>
    <w:uiPriority w:val="47"/>
    <w:rsid w:val="00962C06"/>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11">
    <w:name w:val="List Table 4 - Accent 11"/>
    <w:basedOn w:val="TableNormal"/>
    <w:uiPriority w:val="49"/>
    <w:rsid w:val="0078503C"/>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1">
    <w:name w:val="Grid Table 4 - Accent 11"/>
    <w:basedOn w:val="TableNormal"/>
    <w:uiPriority w:val="49"/>
    <w:rsid w:val="0078503C"/>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5Dark-Accent51">
    <w:name w:val="Grid Table 5 Dark - Accent 51"/>
    <w:basedOn w:val="TableNormal"/>
    <w:uiPriority w:val="50"/>
    <w:rsid w:val="00F848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11">
    <w:name w:val="Grid Table 5 Dark - Accent 11"/>
    <w:basedOn w:val="TableNormal"/>
    <w:uiPriority w:val="50"/>
    <w:rsid w:val="00F848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BalloonText">
    <w:name w:val="Balloon Text"/>
    <w:basedOn w:val="Normal"/>
    <w:link w:val="BalloonTextChar"/>
    <w:uiPriority w:val="99"/>
    <w:semiHidden/>
    <w:unhideWhenUsed/>
    <w:rsid w:val="00B46F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6F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F72"/>
    <w:pPr>
      <w:ind w:left="720"/>
      <w:contextualSpacing/>
    </w:pPr>
  </w:style>
  <w:style w:type="paragraph" w:styleId="FootnoteText">
    <w:name w:val="footnote text"/>
    <w:basedOn w:val="Normal"/>
    <w:link w:val="FootnoteTextChar"/>
    <w:uiPriority w:val="99"/>
    <w:semiHidden/>
    <w:unhideWhenUsed/>
    <w:rsid w:val="0053607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6078"/>
    <w:rPr>
      <w:sz w:val="20"/>
      <w:szCs w:val="20"/>
    </w:rPr>
  </w:style>
  <w:style w:type="character" w:styleId="FootnoteReference">
    <w:name w:val="footnote reference"/>
    <w:basedOn w:val="DefaultParagraphFont"/>
    <w:uiPriority w:val="99"/>
    <w:semiHidden/>
    <w:unhideWhenUsed/>
    <w:rsid w:val="00536078"/>
    <w:rPr>
      <w:vertAlign w:val="superscript"/>
    </w:rPr>
  </w:style>
  <w:style w:type="character" w:styleId="Hyperlink">
    <w:name w:val="Hyperlink"/>
    <w:basedOn w:val="DefaultParagraphFont"/>
    <w:uiPriority w:val="99"/>
    <w:semiHidden/>
    <w:unhideWhenUsed/>
    <w:rsid w:val="00F7200F"/>
    <w:rPr>
      <w:color w:val="0000FF"/>
      <w:u w:val="single"/>
    </w:rPr>
  </w:style>
  <w:style w:type="paragraph" w:styleId="Header">
    <w:name w:val="header"/>
    <w:basedOn w:val="Normal"/>
    <w:link w:val="HeaderChar"/>
    <w:uiPriority w:val="99"/>
    <w:unhideWhenUsed/>
    <w:rsid w:val="00FB19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B192F"/>
  </w:style>
  <w:style w:type="paragraph" w:styleId="Footer">
    <w:name w:val="footer"/>
    <w:basedOn w:val="Normal"/>
    <w:link w:val="FooterChar"/>
    <w:uiPriority w:val="99"/>
    <w:unhideWhenUsed/>
    <w:rsid w:val="00FB19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192F"/>
  </w:style>
  <w:style w:type="paragraph" w:customStyle="1" w:styleId="Default">
    <w:name w:val="Default"/>
    <w:rsid w:val="0068222B"/>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962C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2-Accent11">
    <w:name w:val="Grid Table 2 - Accent 11"/>
    <w:basedOn w:val="TableNormal"/>
    <w:uiPriority w:val="47"/>
    <w:rsid w:val="00962C06"/>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2-Accent11">
    <w:name w:val="List Table 2 - Accent 11"/>
    <w:basedOn w:val="TableNormal"/>
    <w:uiPriority w:val="47"/>
    <w:rsid w:val="00962C06"/>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ListTable4-Accent11">
    <w:name w:val="List Table 4 - Accent 11"/>
    <w:basedOn w:val="TableNormal"/>
    <w:uiPriority w:val="49"/>
    <w:rsid w:val="0078503C"/>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4-Accent11">
    <w:name w:val="Grid Table 4 - Accent 11"/>
    <w:basedOn w:val="TableNormal"/>
    <w:uiPriority w:val="49"/>
    <w:rsid w:val="0078503C"/>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5Dark-Accent51">
    <w:name w:val="Grid Table 5 Dark - Accent 51"/>
    <w:basedOn w:val="TableNormal"/>
    <w:uiPriority w:val="50"/>
    <w:rsid w:val="00F848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GridTable5Dark-Accent11">
    <w:name w:val="Grid Table 5 Dark - Accent 11"/>
    <w:basedOn w:val="TableNormal"/>
    <w:uiPriority w:val="50"/>
    <w:rsid w:val="00F8481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BalloonText">
    <w:name w:val="Balloon Text"/>
    <w:basedOn w:val="Normal"/>
    <w:link w:val="BalloonTextChar"/>
    <w:uiPriority w:val="99"/>
    <w:semiHidden/>
    <w:unhideWhenUsed/>
    <w:rsid w:val="00B46F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6F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32905">
      <w:bodyDiv w:val="1"/>
      <w:marLeft w:val="0"/>
      <w:marRight w:val="0"/>
      <w:marTop w:val="0"/>
      <w:marBottom w:val="0"/>
      <w:divBdr>
        <w:top w:val="none" w:sz="0" w:space="0" w:color="auto"/>
        <w:left w:val="none" w:sz="0" w:space="0" w:color="auto"/>
        <w:bottom w:val="none" w:sz="0" w:space="0" w:color="auto"/>
        <w:right w:val="none" w:sz="0" w:space="0" w:color="auto"/>
      </w:divBdr>
    </w:div>
    <w:div w:id="304772983">
      <w:bodyDiv w:val="1"/>
      <w:marLeft w:val="0"/>
      <w:marRight w:val="0"/>
      <w:marTop w:val="0"/>
      <w:marBottom w:val="0"/>
      <w:divBdr>
        <w:top w:val="none" w:sz="0" w:space="0" w:color="auto"/>
        <w:left w:val="none" w:sz="0" w:space="0" w:color="auto"/>
        <w:bottom w:val="none" w:sz="0" w:space="0" w:color="auto"/>
        <w:right w:val="none" w:sz="0" w:space="0" w:color="auto"/>
      </w:divBdr>
    </w:div>
    <w:div w:id="599528769">
      <w:bodyDiv w:val="1"/>
      <w:marLeft w:val="0"/>
      <w:marRight w:val="0"/>
      <w:marTop w:val="0"/>
      <w:marBottom w:val="0"/>
      <w:divBdr>
        <w:top w:val="none" w:sz="0" w:space="0" w:color="auto"/>
        <w:left w:val="none" w:sz="0" w:space="0" w:color="auto"/>
        <w:bottom w:val="none" w:sz="0" w:space="0" w:color="auto"/>
        <w:right w:val="none" w:sz="0" w:space="0" w:color="auto"/>
      </w:divBdr>
    </w:div>
    <w:div w:id="1022824087">
      <w:bodyDiv w:val="1"/>
      <w:marLeft w:val="0"/>
      <w:marRight w:val="0"/>
      <w:marTop w:val="0"/>
      <w:marBottom w:val="0"/>
      <w:divBdr>
        <w:top w:val="none" w:sz="0" w:space="0" w:color="auto"/>
        <w:left w:val="none" w:sz="0" w:space="0" w:color="auto"/>
        <w:bottom w:val="none" w:sz="0" w:space="0" w:color="auto"/>
        <w:right w:val="none" w:sz="0" w:space="0" w:color="auto"/>
      </w:divBdr>
    </w:div>
    <w:div w:id="1071343981">
      <w:bodyDiv w:val="1"/>
      <w:marLeft w:val="0"/>
      <w:marRight w:val="0"/>
      <w:marTop w:val="0"/>
      <w:marBottom w:val="0"/>
      <w:divBdr>
        <w:top w:val="none" w:sz="0" w:space="0" w:color="auto"/>
        <w:left w:val="none" w:sz="0" w:space="0" w:color="auto"/>
        <w:bottom w:val="none" w:sz="0" w:space="0" w:color="auto"/>
        <w:right w:val="none" w:sz="0" w:space="0" w:color="auto"/>
      </w:divBdr>
    </w:div>
    <w:div w:id="1214199387">
      <w:bodyDiv w:val="1"/>
      <w:marLeft w:val="0"/>
      <w:marRight w:val="0"/>
      <w:marTop w:val="0"/>
      <w:marBottom w:val="0"/>
      <w:divBdr>
        <w:top w:val="none" w:sz="0" w:space="0" w:color="auto"/>
        <w:left w:val="none" w:sz="0" w:space="0" w:color="auto"/>
        <w:bottom w:val="none" w:sz="0" w:space="0" w:color="auto"/>
        <w:right w:val="none" w:sz="0" w:space="0" w:color="auto"/>
      </w:divBdr>
    </w:div>
    <w:div w:id="1386098549">
      <w:bodyDiv w:val="1"/>
      <w:marLeft w:val="0"/>
      <w:marRight w:val="0"/>
      <w:marTop w:val="0"/>
      <w:marBottom w:val="0"/>
      <w:divBdr>
        <w:top w:val="none" w:sz="0" w:space="0" w:color="auto"/>
        <w:left w:val="none" w:sz="0" w:space="0" w:color="auto"/>
        <w:bottom w:val="none" w:sz="0" w:space="0" w:color="auto"/>
        <w:right w:val="none" w:sz="0" w:space="0" w:color="auto"/>
      </w:divBdr>
    </w:div>
    <w:div w:id="1683818049">
      <w:bodyDiv w:val="1"/>
      <w:marLeft w:val="0"/>
      <w:marRight w:val="0"/>
      <w:marTop w:val="0"/>
      <w:marBottom w:val="0"/>
      <w:divBdr>
        <w:top w:val="none" w:sz="0" w:space="0" w:color="auto"/>
        <w:left w:val="none" w:sz="0" w:space="0" w:color="auto"/>
        <w:bottom w:val="none" w:sz="0" w:space="0" w:color="auto"/>
        <w:right w:val="none" w:sz="0" w:space="0" w:color="auto"/>
      </w:divBdr>
    </w:div>
    <w:div w:id="170328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9.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F18D8-F5F1-41EC-9CC7-E045DDCE3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1431</Words>
  <Characters>8161</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CCC</Company>
  <LinksUpToDate>false</LinksUpToDate>
  <CharactersWithSpaces>9573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Davies</dc:creator>
  <cp:lastModifiedBy>Angela Wendzicha</cp:lastModifiedBy>
  <cp:revision>2</cp:revision>
  <cp:lastPrinted>2019-11-13T12:27:00Z</cp:lastPrinted>
  <dcterms:created xsi:type="dcterms:W3CDTF">2020-06-17T10:07:00Z</dcterms:created>
  <dcterms:modified xsi:type="dcterms:W3CDTF">2020-06-17T10:07:00Z</dcterms:modified>
</cp:coreProperties>
</file>